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0011A" w14:textId="20B109BE" w:rsidR="008459DD" w:rsidRDefault="00F0765A" w:rsidP="001803F1">
      <w:pPr>
        <w:jc w:val="center"/>
        <w:rPr>
          <w:b/>
          <w:bCs/>
        </w:rPr>
      </w:pPr>
      <w:r w:rsidRPr="00F0765A">
        <w:rPr>
          <w:b/>
          <w:bCs/>
        </w:rPr>
        <w:t xml:space="preserve">INFORME DE </w:t>
      </w:r>
      <w:r w:rsidR="008459DD" w:rsidRPr="00F0765A">
        <w:rPr>
          <w:b/>
          <w:bCs/>
        </w:rPr>
        <w:t>TRANSICIÓN No</w:t>
      </w:r>
      <w:r w:rsidR="008459DD">
        <w:rPr>
          <w:b/>
          <w:bCs/>
        </w:rPr>
        <w:t>. 5</w:t>
      </w:r>
    </w:p>
    <w:p w14:paraId="1B8BEA28" w14:textId="24DDB502" w:rsidR="008459DD" w:rsidRPr="00DC7F0E" w:rsidRDefault="008459DD" w:rsidP="00487C56">
      <w:pPr>
        <w:pBdr>
          <w:bottom w:val="single" w:sz="6" w:space="1" w:color="auto"/>
        </w:pBdr>
        <w:shd w:val="clear" w:color="auto" w:fill="FFFFFF"/>
        <w:spacing w:after="0" w:line="360" w:lineRule="auto"/>
        <w:rPr>
          <w:rFonts w:ascii="Arial" w:eastAsia="Times New Roman" w:hAnsi="Arial" w:cs="Arial"/>
          <w:color w:val="0A0A0A"/>
          <w:kern w:val="0"/>
          <w:lang w:eastAsia="es-BO"/>
          <w14:ligatures w14:val="none"/>
        </w:rPr>
      </w:pPr>
      <w:r w:rsidRPr="007F3B27">
        <w:rPr>
          <w:rFonts w:ascii="Arial" w:eastAsia="Times New Roman" w:hAnsi="Arial" w:cs="Arial"/>
          <w:b/>
          <w:bCs/>
          <w:color w:val="0A0A0A"/>
          <w:kern w:val="0"/>
          <w:lang w:eastAsia="es-BO"/>
          <w14:ligatures w14:val="none"/>
        </w:rPr>
        <w:t>A</w:t>
      </w:r>
      <w:r>
        <w:rPr>
          <w:rFonts w:ascii="Arial" w:eastAsia="Times New Roman" w:hAnsi="Arial" w:cs="Arial"/>
          <w:b/>
          <w:bCs/>
          <w:color w:val="0A0A0A"/>
          <w:kern w:val="0"/>
          <w:lang w:eastAsia="es-BO"/>
          <w14:ligatures w14:val="none"/>
        </w:rPr>
        <w:t xml:space="preserve">         </w:t>
      </w:r>
      <w:proofErr w:type="gramStart"/>
      <w:r>
        <w:rPr>
          <w:rFonts w:ascii="Arial" w:eastAsia="Times New Roman" w:hAnsi="Arial" w:cs="Arial"/>
          <w:b/>
          <w:bCs/>
          <w:color w:val="0A0A0A"/>
          <w:kern w:val="0"/>
          <w:lang w:eastAsia="es-BO"/>
          <w14:ligatures w14:val="none"/>
        </w:rPr>
        <w:t xml:space="preserve">  </w:t>
      </w:r>
      <w:r w:rsidRPr="007F3B27">
        <w:rPr>
          <w:rFonts w:ascii="Arial" w:eastAsia="Times New Roman" w:hAnsi="Arial" w:cs="Arial"/>
          <w:b/>
          <w:bCs/>
          <w:color w:val="0A0A0A"/>
          <w:kern w:val="0"/>
          <w:lang w:eastAsia="es-BO"/>
          <w14:ligatures w14:val="none"/>
        </w:rPr>
        <w:t>:</w:t>
      </w:r>
      <w:proofErr w:type="gramEnd"/>
      <w:r w:rsidRPr="007F3B27">
        <w:rPr>
          <w:rFonts w:ascii="Arial" w:eastAsia="Times New Roman" w:hAnsi="Arial" w:cs="Arial"/>
          <w:color w:val="0A0A0A"/>
          <w:kern w:val="0"/>
          <w:lang w:eastAsia="es-BO"/>
          <w14:ligatures w14:val="none"/>
        </w:rPr>
        <w:t> </w:t>
      </w:r>
      <w:r>
        <w:rPr>
          <w:rFonts w:ascii="Arial" w:eastAsia="Times New Roman" w:hAnsi="Arial" w:cs="Arial"/>
          <w:color w:val="0A0A0A"/>
          <w:kern w:val="0"/>
          <w:lang w:eastAsia="es-BO"/>
          <w14:ligatures w14:val="none"/>
        </w:rPr>
        <w:t xml:space="preserve">  </w:t>
      </w:r>
      <w:r w:rsidRPr="007F3B27">
        <w:rPr>
          <w:rFonts w:ascii="Arial" w:eastAsia="Times New Roman" w:hAnsi="Arial" w:cs="Arial"/>
          <w:color w:val="0A0A0A"/>
          <w:kern w:val="0"/>
          <w:lang w:eastAsia="es-BO"/>
          <w14:ligatures w14:val="none"/>
        </w:rPr>
        <w:t>Sr. Cesar Dockweiler</w:t>
      </w:r>
      <w:r w:rsidRPr="007F3B27">
        <w:rPr>
          <w:rFonts w:ascii="Arial" w:eastAsia="Times New Roman" w:hAnsi="Arial" w:cs="Arial"/>
          <w:color w:val="0A0A0A"/>
          <w:kern w:val="0"/>
          <w:lang w:eastAsia="es-BO"/>
          <w14:ligatures w14:val="none"/>
        </w:rPr>
        <w:br/>
      </w:r>
      <w:r w:rsidRPr="007F3B27">
        <w:rPr>
          <w:rFonts w:ascii="Arial" w:eastAsia="Times New Roman" w:hAnsi="Arial" w:cs="Arial"/>
          <w:b/>
          <w:bCs/>
          <w:color w:val="0A0A0A"/>
          <w:kern w:val="0"/>
          <w:lang w:eastAsia="es-BO"/>
          <w14:ligatures w14:val="none"/>
        </w:rPr>
        <w:t>DE</w:t>
      </w:r>
      <w:r>
        <w:rPr>
          <w:rFonts w:ascii="Arial" w:eastAsia="Times New Roman" w:hAnsi="Arial" w:cs="Arial"/>
          <w:b/>
          <w:bCs/>
          <w:color w:val="0A0A0A"/>
          <w:kern w:val="0"/>
          <w:lang w:eastAsia="es-BO"/>
          <w14:ligatures w14:val="none"/>
        </w:rPr>
        <w:t xml:space="preserve">         </w:t>
      </w:r>
      <w:r w:rsidRPr="007F3B27">
        <w:rPr>
          <w:rFonts w:ascii="Arial" w:eastAsia="Times New Roman" w:hAnsi="Arial" w:cs="Arial"/>
          <w:b/>
          <w:bCs/>
          <w:color w:val="0A0A0A"/>
          <w:kern w:val="0"/>
          <w:lang w:eastAsia="es-BO"/>
          <w14:ligatures w14:val="none"/>
        </w:rPr>
        <w:t>:</w:t>
      </w:r>
      <w:r w:rsidRPr="007F3B27">
        <w:rPr>
          <w:rFonts w:ascii="Arial" w:eastAsia="Times New Roman" w:hAnsi="Arial" w:cs="Arial"/>
          <w:color w:val="0A0A0A"/>
          <w:kern w:val="0"/>
          <w:lang w:eastAsia="es-BO"/>
          <w14:ligatures w14:val="none"/>
        </w:rPr>
        <w:t> </w:t>
      </w:r>
      <w:r>
        <w:rPr>
          <w:rFonts w:ascii="Arial" w:eastAsia="Times New Roman" w:hAnsi="Arial" w:cs="Arial"/>
          <w:color w:val="0A0A0A"/>
          <w:kern w:val="0"/>
          <w:lang w:eastAsia="es-BO"/>
          <w14:ligatures w14:val="none"/>
        </w:rPr>
        <w:t xml:space="preserve">  </w:t>
      </w:r>
      <w:r w:rsidRPr="007F3B27">
        <w:rPr>
          <w:rFonts w:ascii="Arial" w:eastAsia="Times New Roman" w:hAnsi="Arial" w:cs="Arial"/>
          <w:color w:val="0A0A0A"/>
          <w:kern w:val="0"/>
          <w:lang w:eastAsia="es-BO"/>
          <w14:ligatures w14:val="none"/>
        </w:rPr>
        <w:t xml:space="preserve">Comisión de Transición </w:t>
      </w:r>
      <w:r>
        <w:rPr>
          <w:rFonts w:ascii="Arial" w:eastAsia="Times New Roman" w:hAnsi="Arial" w:cs="Arial"/>
          <w:color w:val="0A0A0A"/>
          <w:kern w:val="0"/>
          <w:lang w:eastAsia="es-BO"/>
          <w14:ligatures w14:val="none"/>
        </w:rPr>
        <w:t>–</w:t>
      </w:r>
      <w:r w:rsidRPr="007F3B27">
        <w:rPr>
          <w:rFonts w:ascii="Arial" w:eastAsia="Times New Roman" w:hAnsi="Arial" w:cs="Arial"/>
          <w:color w:val="0A0A0A"/>
          <w:kern w:val="0"/>
          <w:lang w:eastAsia="es-BO"/>
          <w14:ligatures w14:val="none"/>
        </w:rPr>
        <w:t xml:space="preserve"> </w:t>
      </w:r>
      <w:r>
        <w:rPr>
          <w:rFonts w:ascii="Arial" w:eastAsia="Times New Roman" w:hAnsi="Arial" w:cs="Arial"/>
          <w:color w:val="0A0A0A"/>
          <w:kern w:val="0"/>
          <w:lang w:eastAsia="es-BO"/>
          <w14:ligatures w14:val="none"/>
        </w:rPr>
        <w:t>Sub Alcaldía Hampaturi</w:t>
      </w:r>
      <w:r w:rsidRPr="007F3B27">
        <w:rPr>
          <w:rFonts w:ascii="Arial" w:eastAsia="Times New Roman" w:hAnsi="Arial" w:cs="Arial"/>
          <w:color w:val="0A0A0A"/>
          <w:kern w:val="0"/>
          <w:lang w:eastAsia="es-BO"/>
          <w14:ligatures w14:val="none"/>
        </w:rPr>
        <w:br/>
      </w:r>
      <w:r w:rsidRPr="007F3B27">
        <w:rPr>
          <w:rFonts w:ascii="Arial" w:eastAsia="Times New Roman" w:hAnsi="Arial" w:cs="Arial"/>
          <w:b/>
          <w:bCs/>
          <w:color w:val="0A0A0A"/>
          <w:kern w:val="0"/>
          <w:lang w:eastAsia="es-BO"/>
          <w14:ligatures w14:val="none"/>
        </w:rPr>
        <w:t>FECHA</w:t>
      </w:r>
      <w:r>
        <w:rPr>
          <w:rFonts w:ascii="Arial" w:eastAsia="Times New Roman" w:hAnsi="Arial" w:cs="Arial"/>
          <w:b/>
          <w:bCs/>
          <w:color w:val="0A0A0A"/>
          <w:kern w:val="0"/>
          <w:lang w:eastAsia="es-BO"/>
          <w14:ligatures w14:val="none"/>
        </w:rPr>
        <w:t xml:space="preserve">  </w:t>
      </w:r>
      <w:r w:rsidRPr="007F3B27">
        <w:rPr>
          <w:rFonts w:ascii="Arial" w:eastAsia="Times New Roman" w:hAnsi="Arial" w:cs="Arial"/>
          <w:b/>
          <w:bCs/>
          <w:color w:val="0A0A0A"/>
          <w:kern w:val="0"/>
          <w:lang w:eastAsia="es-BO"/>
          <w14:ligatures w14:val="none"/>
        </w:rPr>
        <w:t>:</w:t>
      </w:r>
      <w:r w:rsidRPr="007F3B27">
        <w:rPr>
          <w:rFonts w:ascii="Arial" w:eastAsia="Times New Roman" w:hAnsi="Arial" w:cs="Arial"/>
          <w:color w:val="0A0A0A"/>
          <w:kern w:val="0"/>
          <w:lang w:eastAsia="es-BO"/>
          <w14:ligatures w14:val="none"/>
        </w:rPr>
        <w:t> </w:t>
      </w:r>
      <w:r>
        <w:rPr>
          <w:rFonts w:ascii="Arial" w:eastAsia="Times New Roman" w:hAnsi="Arial" w:cs="Arial"/>
          <w:color w:val="0A0A0A"/>
          <w:kern w:val="0"/>
          <w:lang w:eastAsia="es-BO"/>
          <w14:ligatures w14:val="none"/>
        </w:rPr>
        <w:t xml:space="preserve">  </w:t>
      </w:r>
      <w:r w:rsidR="002F2DAA">
        <w:rPr>
          <w:rFonts w:ascii="Arial" w:eastAsia="Times New Roman" w:hAnsi="Arial" w:cs="Arial"/>
          <w:color w:val="0A0A0A"/>
          <w:kern w:val="0"/>
          <w:lang w:eastAsia="es-BO"/>
          <w14:ligatures w14:val="none"/>
        </w:rPr>
        <w:t>21</w:t>
      </w:r>
      <w:r w:rsidRPr="007F3B27">
        <w:rPr>
          <w:rFonts w:ascii="Arial" w:eastAsia="Times New Roman" w:hAnsi="Arial" w:cs="Arial"/>
          <w:color w:val="0A0A0A"/>
          <w:kern w:val="0"/>
          <w:lang w:eastAsia="es-BO"/>
          <w14:ligatures w14:val="none"/>
        </w:rPr>
        <w:t xml:space="preserve"> de abril de 2026</w:t>
      </w:r>
      <w:r w:rsidRPr="007F3B27">
        <w:rPr>
          <w:rFonts w:ascii="Arial" w:eastAsia="Times New Roman" w:hAnsi="Arial" w:cs="Arial"/>
          <w:color w:val="0A0A0A"/>
          <w:kern w:val="0"/>
          <w:lang w:eastAsia="es-BO"/>
          <w14:ligatures w14:val="none"/>
        </w:rPr>
        <w:br/>
      </w:r>
      <w:r w:rsidRPr="007F3B27">
        <w:rPr>
          <w:rFonts w:ascii="Arial" w:eastAsia="Times New Roman" w:hAnsi="Arial" w:cs="Arial"/>
          <w:b/>
          <w:bCs/>
          <w:color w:val="0A0A0A"/>
          <w:kern w:val="0"/>
          <w:lang w:eastAsia="es-BO"/>
          <w14:ligatures w14:val="none"/>
        </w:rPr>
        <w:t>REF.</w:t>
      </w:r>
      <w:r>
        <w:rPr>
          <w:rFonts w:ascii="Arial" w:eastAsia="Times New Roman" w:hAnsi="Arial" w:cs="Arial"/>
          <w:b/>
          <w:bCs/>
          <w:color w:val="0A0A0A"/>
          <w:kern w:val="0"/>
          <w:lang w:eastAsia="es-BO"/>
          <w14:ligatures w14:val="none"/>
        </w:rPr>
        <w:t xml:space="preserve">      </w:t>
      </w:r>
      <w:r w:rsidRPr="007F3B27">
        <w:rPr>
          <w:rFonts w:ascii="Arial" w:eastAsia="Times New Roman" w:hAnsi="Arial" w:cs="Arial"/>
          <w:b/>
          <w:bCs/>
          <w:color w:val="0A0A0A"/>
          <w:kern w:val="0"/>
          <w:lang w:eastAsia="es-BO"/>
          <w14:ligatures w14:val="none"/>
        </w:rPr>
        <w:t>:</w:t>
      </w:r>
      <w:r w:rsidRPr="007F3B27">
        <w:rPr>
          <w:rFonts w:ascii="Arial" w:eastAsia="Times New Roman" w:hAnsi="Arial" w:cs="Arial"/>
          <w:color w:val="0A0A0A"/>
          <w:kern w:val="0"/>
          <w:lang w:eastAsia="es-BO"/>
          <w14:ligatures w14:val="none"/>
        </w:rPr>
        <w:t> </w:t>
      </w:r>
      <w:r>
        <w:rPr>
          <w:rFonts w:ascii="Arial" w:eastAsia="Times New Roman" w:hAnsi="Arial" w:cs="Arial"/>
          <w:color w:val="0A0A0A"/>
          <w:kern w:val="0"/>
          <w:lang w:eastAsia="es-BO"/>
          <w14:ligatures w14:val="none"/>
        </w:rPr>
        <w:t xml:space="preserve">  </w:t>
      </w:r>
      <w:r w:rsidRPr="008459DD">
        <w:rPr>
          <w:rFonts w:ascii="Arial" w:eastAsia="Times New Roman" w:hAnsi="Arial" w:cs="Arial"/>
          <w:b/>
          <w:bCs/>
          <w:color w:val="0A0A0A"/>
          <w:kern w:val="0"/>
          <w:lang w:eastAsia="es-BO"/>
          <w14:ligatures w14:val="none"/>
        </w:rPr>
        <w:t xml:space="preserve">Análisis </w:t>
      </w:r>
      <w:r>
        <w:rPr>
          <w:b/>
          <w:bCs/>
        </w:rPr>
        <w:t xml:space="preserve">Procesos </w:t>
      </w:r>
      <w:r w:rsidR="001803F1">
        <w:rPr>
          <w:b/>
          <w:bCs/>
        </w:rPr>
        <w:t>de fiscalización</w:t>
      </w:r>
      <w:r>
        <w:rPr>
          <w:rFonts w:ascii="Arial" w:eastAsia="Times New Roman" w:hAnsi="Arial" w:cs="Arial"/>
          <w:color w:val="0A0A0A"/>
          <w:kern w:val="0"/>
          <w:lang w:eastAsia="es-BO"/>
          <w14:ligatures w14:val="none"/>
        </w:rPr>
        <w:t xml:space="preserve"> </w:t>
      </w:r>
    </w:p>
    <w:p w14:paraId="15630C07" w14:textId="77777777" w:rsidR="008459DD" w:rsidRDefault="008459DD" w:rsidP="001803F1">
      <w:pPr>
        <w:spacing w:line="240" w:lineRule="auto"/>
        <w:jc w:val="both"/>
        <w:rPr>
          <w:b/>
          <w:bCs/>
        </w:rPr>
      </w:pPr>
    </w:p>
    <w:p w14:paraId="5896D9AD" w14:textId="77777777" w:rsidR="001803F1" w:rsidRPr="001803F1" w:rsidRDefault="001803F1" w:rsidP="001803F1">
      <w:pPr>
        <w:spacing w:line="240" w:lineRule="auto"/>
        <w:jc w:val="both"/>
        <w:rPr>
          <w:b/>
          <w:bCs/>
        </w:rPr>
      </w:pPr>
      <w:r w:rsidRPr="001803F1">
        <w:rPr>
          <w:b/>
          <w:bCs/>
        </w:rPr>
        <w:t>1. HALLAZGO TÉCNICO: EL ORIGEN DE LOS PROCESOS</w:t>
      </w:r>
    </w:p>
    <w:p w14:paraId="2E29ACEC" w14:textId="2F80209E" w:rsidR="001803F1" w:rsidRPr="001803F1" w:rsidRDefault="001803F1" w:rsidP="001803F1">
      <w:pPr>
        <w:spacing w:line="240" w:lineRule="auto"/>
        <w:jc w:val="both"/>
      </w:pPr>
      <w:r w:rsidRPr="001803F1">
        <w:t>En la reunión del día de hoy, el equipo técnico de la Sub</w:t>
      </w:r>
      <w:r>
        <w:t xml:space="preserve"> </w:t>
      </w:r>
      <w:r w:rsidRPr="001803F1">
        <w:t xml:space="preserve">alcaldía confirmó que la totalidad de los procesos detallados en el </w:t>
      </w:r>
      <w:r w:rsidRPr="001803F1">
        <w:rPr>
          <w:b/>
          <w:bCs/>
        </w:rPr>
        <w:t>Anexo 1</w:t>
      </w:r>
      <w:r w:rsidRPr="001803F1">
        <w:t xml:space="preserve"> corresponden a </w:t>
      </w:r>
      <w:r w:rsidRPr="001803F1">
        <w:rPr>
          <w:b/>
          <w:bCs/>
        </w:rPr>
        <w:t>movimientos de tierra y terraplenes ilegales</w:t>
      </w:r>
      <w:r w:rsidRPr="001803F1">
        <w:t>. Actualmente, estas fiscalizaciones se encuentran en diversas etapas administrativas y están pendientes de ejecución.</w:t>
      </w:r>
    </w:p>
    <w:p w14:paraId="0FDBA2DE" w14:textId="77777777" w:rsidR="001803F1" w:rsidRPr="001803F1" w:rsidRDefault="001803F1" w:rsidP="001803F1">
      <w:pPr>
        <w:spacing w:line="240" w:lineRule="auto"/>
        <w:jc w:val="both"/>
        <w:rPr>
          <w:b/>
          <w:bCs/>
        </w:rPr>
      </w:pPr>
      <w:r w:rsidRPr="001803F1">
        <w:rPr>
          <w:b/>
          <w:bCs/>
        </w:rPr>
        <w:t>2. IRREGULARIDADES SEGÚN LOS TIEMPOS DE FISCALIZACIÓN</w:t>
      </w:r>
    </w:p>
    <w:p w14:paraId="7803DCE9" w14:textId="77777777" w:rsidR="001803F1" w:rsidRPr="001803F1" w:rsidRDefault="001803F1" w:rsidP="001803F1">
      <w:pPr>
        <w:spacing w:line="240" w:lineRule="auto"/>
        <w:jc w:val="both"/>
      </w:pPr>
      <w:r w:rsidRPr="001803F1">
        <w:t>Al analizar las fechas del cuadro de fiscalización, se detectan anomalías que sugieren un retraso intencional para favorecer a los infractores:</w:t>
      </w:r>
    </w:p>
    <w:p w14:paraId="473ED4AC" w14:textId="77777777" w:rsidR="001803F1" w:rsidRPr="001803F1" w:rsidRDefault="001803F1" w:rsidP="001803F1">
      <w:pPr>
        <w:numPr>
          <w:ilvl w:val="0"/>
          <w:numId w:val="30"/>
        </w:numPr>
        <w:spacing w:line="240" w:lineRule="auto"/>
        <w:jc w:val="both"/>
      </w:pPr>
      <w:r w:rsidRPr="001803F1">
        <w:rPr>
          <w:b/>
          <w:bCs/>
        </w:rPr>
        <w:t>Mora Extrema en la Ejecución (2021-2023):</w:t>
      </w:r>
      <w:r w:rsidRPr="001803F1">
        <w:t xml:space="preserve"> Se observa que casos iniciados en </w:t>
      </w:r>
      <w:r w:rsidRPr="001803F1">
        <w:rPr>
          <w:b/>
          <w:bCs/>
        </w:rPr>
        <w:t>octubre de 2021</w:t>
      </w:r>
      <w:r w:rsidRPr="001803F1">
        <w:t xml:space="preserve"> (como el de Nieves Aruquipa) recién obtuvieron su Auto de Ejecutoria en </w:t>
      </w:r>
      <w:r w:rsidRPr="001803F1">
        <w:rPr>
          <w:b/>
          <w:bCs/>
        </w:rPr>
        <w:t>febrero de 2023</w:t>
      </w:r>
      <w:r w:rsidRPr="001803F1">
        <w:t>. Ese vacío de casi un año y medio permitió que la intervención ilegal en el suelo de Hampaturi continuara sin freno legal.</w:t>
      </w:r>
    </w:p>
    <w:p w14:paraId="5071B867" w14:textId="77777777" w:rsidR="001803F1" w:rsidRPr="001803F1" w:rsidRDefault="001803F1" w:rsidP="001803F1">
      <w:pPr>
        <w:numPr>
          <w:ilvl w:val="0"/>
          <w:numId w:val="30"/>
        </w:numPr>
        <w:spacing w:line="240" w:lineRule="auto"/>
        <w:jc w:val="both"/>
      </w:pPr>
      <w:r w:rsidRPr="001803F1">
        <w:rPr>
          <w:b/>
          <w:bCs/>
        </w:rPr>
        <w:t>Acumulación de Resoluciones al Cierre de Gestión:</w:t>
      </w:r>
      <w:r w:rsidRPr="001803F1">
        <w:t xml:space="preserve"> Resulta sospechoso que los procesos de mayor cuantía en este anexo (como los de </w:t>
      </w:r>
      <w:r w:rsidRPr="001803F1">
        <w:rPr>
          <w:b/>
          <w:bCs/>
        </w:rPr>
        <w:t>Luis Armando Monrroy</w:t>
      </w:r>
      <w:r w:rsidRPr="001803F1">
        <w:t xml:space="preserve"> y </w:t>
      </w:r>
      <w:proofErr w:type="spellStart"/>
      <w:r w:rsidRPr="001803F1">
        <w:rPr>
          <w:b/>
          <w:bCs/>
        </w:rPr>
        <w:t>Andean</w:t>
      </w:r>
      <w:proofErr w:type="spellEnd"/>
      <w:r w:rsidRPr="001803F1">
        <w:rPr>
          <w:b/>
          <w:bCs/>
        </w:rPr>
        <w:t xml:space="preserve"> </w:t>
      </w:r>
      <w:proofErr w:type="spellStart"/>
      <w:r w:rsidRPr="001803F1">
        <w:rPr>
          <w:b/>
          <w:bCs/>
        </w:rPr>
        <w:t>Consulting</w:t>
      </w:r>
      <w:proofErr w:type="spellEnd"/>
      <w:r w:rsidRPr="001803F1">
        <w:t xml:space="preserve">) tengan Resoluciones Administrativas </w:t>
      </w:r>
      <w:proofErr w:type="spellStart"/>
      <w:r w:rsidRPr="001803F1">
        <w:t>Macrodistritales</w:t>
      </w:r>
      <w:proofErr w:type="spellEnd"/>
      <w:r w:rsidRPr="001803F1">
        <w:t xml:space="preserve"> (RAM) emitidas recién en </w:t>
      </w:r>
      <w:r w:rsidRPr="001803F1">
        <w:rPr>
          <w:b/>
          <w:bCs/>
        </w:rPr>
        <w:t>noviembre y diciembre de 2025</w:t>
      </w:r>
      <w:r w:rsidRPr="001803F1">
        <w:t>.</w:t>
      </w:r>
    </w:p>
    <w:p w14:paraId="35BC332A" w14:textId="77777777" w:rsidR="001803F1" w:rsidRPr="001803F1" w:rsidRDefault="001803F1" w:rsidP="001803F1">
      <w:pPr>
        <w:numPr>
          <w:ilvl w:val="0"/>
          <w:numId w:val="30"/>
        </w:numPr>
        <w:spacing w:line="240" w:lineRule="auto"/>
        <w:jc w:val="both"/>
      </w:pPr>
      <w:r w:rsidRPr="001803F1">
        <w:rPr>
          <w:b/>
          <w:bCs/>
        </w:rPr>
        <w:t>Riesgo de Impugnación por Tiempos:</w:t>
      </w:r>
      <w:r w:rsidRPr="001803F1">
        <w:t xml:space="preserve"> Al haber dilatado el proceso durante años, la administración saliente ha dejado estos casos en "Etapa de Impugnación con Recurso Jerárquico" justo en el momento del cambio de mando, facilitando que las empresas aleguen prescripción por falta de celeridad administrativa.</w:t>
      </w:r>
    </w:p>
    <w:p w14:paraId="1003B3BE" w14:textId="77777777" w:rsidR="001803F1" w:rsidRPr="001803F1" w:rsidRDefault="001803F1" w:rsidP="001803F1">
      <w:pPr>
        <w:spacing w:line="240" w:lineRule="auto"/>
        <w:jc w:val="both"/>
        <w:rPr>
          <w:b/>
          <w:bCs/>
        </w:rPr>
      </w:pPr>
      <w:r w:rsidRPr="001803F1">
        <w:rPr>
          <w:b/>
          <w:bCs/>
        </w:rPr>
        <w:t>3. DESARTICULACIÓN DEL ÁREA DE CONTROL (GESTIÓN 2023)</w:t>
      </w:r>
    </w:p>
    <w:p w14:paraId="79133F8F" w14:textId="77777777" w:rsidR="001803F1" w:rsidRPr="001803F1" w:rsidRDefault="001803F1" w:rsidP="001803F1">
      <w:pPr>
        <w:spacing w:line="240" w:lineRule="auto"/>
        <w:jc w:val="both"/>
      </w:pPr>
      <w:r w:rsidRPr="001803F1">
        <w:t xml:space="preserve">Como se analizó previamente, en 2023 se eliminaron del </w:t>
      </w:r>
      <w:proofErr w:type="spellStart"/>
      <w:r w:rsidRPr="001803F1">
        <w:t>MOF</w:t>
      </w:r>
      <w:proofErr w:type="spellEnd"/>
      <w:r w:rsidRPr="001803F1">
        <w:t xml:space="preserve"> las áreas de </w:t>
      </w:r>
      <w:r w:rsidRPr="001803F1">
        <w:rPr>
          <w:b/>
          <w:bCs/>
        </w:rPr>
        <w:t>Planificación</w:t>
      </w:r>
      <w:r w:rsidRPr="001803F1">
        <w:t xml:space="preserve"> (responsable de la fiscalización técnica) y </w:t>
      </w:r>
      <w:r w:rsidRPr="001803F1">
        <w:rPr>
          <w:b/>
          <w:bCs/>
        </w:rPr>
        <w:t>Jurídica</w:t>
      </w:r>
      <w:r w:rsidRPr="001803F1">
        <w:t>.</w:t>
      </w:r>
    </w:p>
    <w:p w14:paraId="727A5259" w14:textId="77777777" w:rsidR="001803F1" w:rsidRPr="001803F1" w:rsidRDefault="001803F1" w:rsidP="001803F1">
      <w:pPr>
        <w:numPr>
          <w:ilvl w:val="0"/>
          <w:numId w:val="31"/>
        </w:numPr>
        <w:spacing w:line="240" w:lineRule="auto"/>
        <w:jc w:val="both"/>
      </w:pPr>
      <w:r w:rsidRPr="001803F1">
        <w:rPr>
          <w:b/>
          <w:bCs/>
        </w:rPr>
        <w:t>Irregularidad:</w:t>
      </w:r>
      <w:r w:rsidRPr="001803F1">
        <w:t xml:space="preserve"> Los funcionarios actuales no realizaron reclamos ante la MAE por esta supresión que desbarató la capacidad de defensa del municipio.</w:t>
      </w:r>
    </w:p>
    <w:p w14:paraId="59B614D8" w14:textId="77777777" w:rsidR="001803F1" w:rsidRPr="001803F1" w:rsidRDefault="001803F1" w:rsidP="001803F1">
      <w:pPr>
        <w:numPr>
          <w:ilvl w:val="0"/>
          <w:numId w:val="31"/>
        </w:numPr>
        <w:spacing w:line="240" w:lineRule="auto"/>
        <w:jc w:val="both"/>
      </w:pPr>
      <w:r w:rsidRPr="001803F1">
        <w:rPr>
          <w:b/>
          <w:bCs/>
        </w:rPr>
        <w:t>Presunción:</w:t>
      </w:r>
      <w:r w:rsidRPr="001803F1">
        <w:t xml:space="preserve"> Existe la sospecha de que este desmantelamiento fue una estrategia para que las empresas que realizan movimientos de tierras operaran sin técnicos que midieran el daño ni abogados que impulsaran las sanciones, presumiendo un arreglo entre partes.</w:t>
      </w:r>
    </w:p>
    <w:p w14:paraId="394A8DB1" w14:textId="77777777" w:rsidR="001803F1" w:rsidRPr="001803F1" w:rsidRDefault="001803F1" w:rsidP="001803F1">
      <w:pPr>
        <w:spacing w:line="240" w:lineRule="auto"/>
        <w:jc w:val="both"/>
        <w:rPr>
          <w:b/>
          <w:bCs/>
        </w:rPr>
      </w:pPr>
      <w:r w:rsidRPr="001803F1">
        <w:rPr>
          <w:b/>
          <w:bCs/>
        </w:rPr>
        <w:t>4. RECOMENDACIONES Y MEDIDAS DE SEGURIDAD</w:t>
      </w:r>
    </w:p>
    <w:p w14:paraId="7C2A965D" w14:textId="77777777" w:rsidR="001803F1" w:rsidRPr="001803F1" w:rsidRDefault="001803F1" w:rsidP="001803F1">
      <w:pPr>
        <w:spacing w:line="240" w:lineRule="auto"/>
        <w:jc w:val="both"/>
      </w:pPr>
      <w:r w:rsidRPr="001803F1">
        <w:t>Dada la incertidumbre sobre el daño real que estos terraplenes podrían causar (deslizamientos o afectación de cuencas), se recomienda:</w:t>
      </w:r>
    </w:p>
    <w:p w14:paraId="08D7708A" w14:textId="77777777" w:rsidR="001803F1" w:rsidRPr="001803F1" w:rsidRDefault="001803F1" w:rsidP="001803F1">
      <w:pPr>
        <w:numPr>
          <w:ilvl w:val="0"/>
          <w:numId w:val="32"/>
        </w:numPr>
        <w:spacing w:line="240" w:lineRule="auto"/>
        <w:jc w:val="both"/>
      </w:pPr>
      <w:r w:rsidRPr="001803F1">
        <w:rPr>
          <w:b/>
          <w:bCs/>
        </w:rPr>
        <w:t xml:space="preserve">Arraigo del Subalcalde y </w:t>
      </w:r>
      <w:proofErr w:type="gramStart"/>
      <w:r w:rsidRPr="001803F1">
        <w:rPr>
          <w:b/>
          <w:bCs/>
        </w:rPr>
        <w:t>Jefes</w:t>
      </w:r>
      <w:proofErr w:type="gramEnd"/>
      <w:r w:rsidRPr="001803F1">
        <w:rPr>
          <w:b/>
          <w:bCs/>
        </w:rPr>
        <w:t xml:space="preserve"> de Sección:</w:t>
      </w:r>
      <w:r w:rsidRPr="001803F1">
        <w:t xml:space="preserve"> Medida necesaria para garantizar que respondan por la demora de años en dictar los Autos de Ejecutoria y por la omisión en la defensa de la estructura orgánica de la </w:t>
      </w:r>
      <w:proofErr w:type="spellStart"/>
      <w:r w:rsidRPr="001803F1">
        <w:t>Subalcaldía</w:t>
      </w:r>
      <w:proofErr w:type="spellEnd"/>
      <w:r w:rsidRPr="001803F1">
        <w:t>.</w:t>
      </w:r>
    </w:p>
    <w:p w14:paraId="4C051042" w14:textId="77777777" w:rsidR="001803F1" w:rsidRDefault="001803F1" w:rsidP="001803F1">
      <w:pPr>
        <w:numPr>
          <w:ilvl w:val="0"/>
          <w:numId w:val="32"/>
        </w:numPr>
        <w:spacing w:line="240" w:lineRule="auto"/>
        <w:jc w:val="both"/>
      </w:pPr>
      <w:r w:rsidRPr="001803F1">
        <w:rPr>
          <w:b/>
          <w:bCs/>
        </w:rPr>
        <w:t>Auditoría de Plazos Procesales:</w:t>
      </w:r>
      <w:r w:rsidRPr="001803F1">
        <w:t xml:space="preserve"> Verificar por qué procesos de 2021 recién se activaron para cobro en 2023 o 2024, identificando a los técnicos responsables de la custodia de esos expedientes.</w:t>
      </w:r>
    </w:p>
    <w:p w14:paraId="47324197" w14:textId="77777777" w:rsidR="001803F1" w:rsidRDefault="001803F1" w:rsidP="001803F1">
      <w:pPr>
        <w:spacing w:line="240" w:lineRule="auto"/>
        <w:jc w:val="both"/>
      </w:pPr>
    </w:p>
    <w:p w14:paraId="3CF19E4F" w14:textId="77777777" w:rsidR="001803F1" w:rsidRPr="001803F1" w:rsidRDefault="001803F1" w:rsidP="001803F1">
      <w:pPr>
        <w:spacing w:line="240" w:lineRule="auto"/>
        <w:jc w:val="both"/>
      </w:pPr>
    </w:p>
    <w:p w14:paraId="794DA1AB" w14:textId="77777777" w:rsidR="001803F1" w:rsidRPr="001803F1" w:rsidRDefault="001803F1" w:rsidP="001803F1">
      <w:pPr>
        <w:numPr>
          <w:ilvl w:val="0"/>
          <w:numId w:val="32"/>
        </w:numPr>
        <w:spacing w:line="240" w:lineRule="auto"/>
        <w:jc w:val="both"/>
      </w:pPr>
      <w:r w:rsidRPr="001803F1">
        <w:rPr>
          <w:b/>
          <w:bCs/>
        </w:rPr>
        <w:lastRenderedPageBreak/>
        <w:t>Investigación por Colusión:</w:t>
      </w:r>
      <w:r w:rsidRPr="001803F1">
        <w:t xml:space="preserve"> Determinar si la supresión de las áreas de Planificación y Jurídica fue una maniobra coordinada para beneficiar a las empresas de carga y terraplenes listadas en este anexo.</w:t>
      </w:r>
    </w:p>
    <w:p w14:paraId="32401A54" w14:textId="77777777" w:rsidR="001803F1" w:rsidRPr="001803F1" w:rsidRDefault="001803F1" w:rsidP="001803F1">
      <w:pPr>
        <w:numPr>
          <w:ilvl w:val="0"/>
          <w:numId w:val="32"/>
        </w:numPr>
        <w:spacing w:line="240" w:lineRule="auto"/>
        <w:jc w:val="both"/>
      </w:pPr>
      <w:r w:rsidRPr="001803F1">
        <w:rPr>
          <w:b/>
          <w:bCs/>
        </w:rPr>
        <w:t>Anotación Preventiva de Bienes:</w:t>
      </w:r>
      <w:r w:rsidRPr="001803F1">
        <w:t xml:space="preserve"> Sobre los funcionarios implicados, ante la posible pérdida de ingresos municipales por procesos que nacerán "muertos" debido a la prescripción de los plazos.</w:t>
      </w:r>
    </w:p>
    <w:p w14:paraId="123B6940" w14:textId="008AD8D1" w:rsidR="003C1609" w:rsidRDefault="003C1609" w:rsidP="001803F1">
      <w:pPr>
        <w:jc w:val="both"/>
      </w:pPr>
    </w:p>
    <w:p w14:paraId="07C83B5E" w14:textId="3569EA26" w:rsidR="00F21B19" w:rsidRDefault="00F21B19" w:rsidP="001803F1">
      <w:pPr>
        <w:jc w:val="both"/>
      </w:pPr>
      <w:r w:rsidRPr="00F21B19">
        <w:t>Es cuanto podemos informar en honor a la verdad y los fines consiguientes.</w:t>
      </w:r>
    </w:p>
    <w:p w14:paraId="6494AB9C" w14:textId="38BC9341" w:rsidR="00F21B19" w:rsidRPr="001803F1" w:rsidRDefault="00F21B19" w:rsidP="001803F1">
      <w:pPr>
        <w:jc w:val="center"/>
        <w:rPr>
          <w:b/>
          <w:bCs/>
          <w:sz w:val="28"/>
          <w:szCs w:val="28"/>
        </w:rPr>
      </w:pPr>
      <w:r w:rsidRPr="001803F1">
        <w:rPr>
          <w:b/>
          <w:bCs/>
          <w:sz w:val="28"/>
          <w:szCs w:val="28"/>
        </w:rPr>
        <w:t>P/LA COMISIÓN DE TRANSICIÓN SUB ALCALDÍA DE “HAMPATURI”</w:t>
      </w:r>
    </w:p>
    <w:p w14:paraId="2285BDB7" w14:textId="77777777" w:rsidR="003C1609" w:rsidRDefault="003C1609" w:rsidP="00487C56">
      <w:pPr>
        <w:jc w:val="both"/>
      </w:pPr>
    </w:p>
    <w:sectPr w:rsidR="003C1609" w:rsidSect="001803F1">
      <w:pgSz w:w="12240" w:h="20160" w:code="5"/>
      <w:pgMar w:top="1134"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62D8"/>
    <w:multiLevelType w:val="multilevel"/>
    <w:tmpl w:val="9676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C59F4"/>
    <w:multiLevelType w:val="multilevel"/>
    <w:tmpl w:val="4D22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67944"/>
    <w:multiLevelType w:val="multilevel"/>
    <w:tmpl w:val="FFB6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40016"/>
    <w:multiLevelType w:val="multilevel"/>
    <w:tmpl w:val="D980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F1F52"/>
    <w:multiLevelType w:val="multilevel"/>
    <w:tmpl w:val="A992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8487B"/>
    <w:multiLevelType w:val="multilevel"/>
    <w:tmpl w:val="BC3A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81C13"/>
    <w:multiLevelType w:val="multilevel"/>
    <w:tmpl w:val="597A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E42E1"/>
    <w:multiLevelType w:val="multilevel"/>
    <w:tmpl w:val="EC12F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F3843"/>
    <w:multiLevelType w:val="multilevel"/>
    <w:tmpl w:val="256C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7A3213"/>
    <w:multiLevelType w:val="multilevel"/>
    <w:tmpl w:val="72826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DC45EB"/>
    <w:multiLevelType w:val="multilevel"/>
    <w:tmpl w:val="F60C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250DE0"/>
    <w:multiLevelType w:val="multilevel"/>
    <w:tmpl w:val="18B4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7C28BE"/>
    <w:multiLevelType w:val="multilevel"/>
    <w:tmpl w:val="935CB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D1C38"/>
    <w:multiLevelType w:val="multilevel"/>
    <w:tmpl w:val="70A4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E536C"/>
    <w:multiLevelType w:val="multilevel"/>
    <w:tmpl w:val="504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D2FAF"/>
    <w:multiLevelType w:val="multilevel"/>
    <w:tmpl w:val="367A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64F3D"/>
    <w:multiLevelType w:val="multilevel"/>
    <w:tmpl w:val="2A14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C633EC"/>
    <w:multiLevelType w:val="multilevel"/>
    <w:tmpl w:val="5F2C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D130B"/>
    <w:multiLevelType w:val="multilevel"/>
    <w:tmpl w:val="91F2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46721B"/>
    <w:multiLevelType w:val="multilevel"/>
    <w:tmpl w:val="84CA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5D09CD"/>
    <w:multiLevelType w:val="multilevel"/>
    <w:tmpl w:val="7EC4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D6FD4"/>
    <w:multiLevelType w:val="multilevel"/>
    <w:tmpl w:val="B964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BE009B"/>
    <w:multiLevelType w:val="multilevel"/>
    <w:tmpl w:val="BB80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0E4DAB"/>
    <w:multiLevelType w:val="multilevel"/>
    <w:tmpl w:val="E21AB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68033B"/>
    <w:multiLevelType w:val="multilevel"/>
    <w:tmpl w:val="3040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6F4CD3"/>
    <w:multiLevelType w:val="multilevel"/>
    <w:tmpl w:val="FAFC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094240"/>
    <w:multiLevelType w:val="multilevel"/>
    <w:tmpl w:val="A3625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8B7166"/>
    <w:multiLevelType w:val="multilevel"/>
    <w:tmpl w:val="6172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B81D6D"/>
    <w:multiLevelType w:val="multilevel"/>
    <w:tmpl w:val="0C20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2B1BD8"/>
    <w:multiLevelType w:val="multilevel"/>
    <w:tmpl w:val="BDD8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4048DE"/>
    <w:multiLevelType w:val="multilevel"/>
    <w:tmpl w:val="4182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D5189F"/>
    <w:multiLevelType w:val="multilevel"/>
    <w:tmpl w:val="85E0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161645">
    <w:abstractNumId w:val="9"/>
  </w:num>
  <w:num w:numId="2" w16cid:durableId="756170450">
    <w:abstractNumId w:val="13"/>
  </w:num>
  <w:num w:numId="3" w16cid:durableId="140730943">
    <w:abstractNumId w:val="15"/>
  </w:num>
  <w:num w:numId="4" w16cid:durableId="1171721389">
    <w:abstractNumId w:val="26"/>
  </w:num>
  <w:num w:numId="5" w16cid:durableId="1790585644">
    <w:abstractNumId w:val="3"/>
  </w:num>
  <w:num w:numId="6" w16cid:durableId="1793550544">
    <w:abstractNumId w:val="28"/>
  </w:num>
  <w:num w:numId="7" w16cid:durableId="1083141642">
    <w:abstractNumId w:val="12"/>
  </w:num>
  <w:num w:numId="8" w16cid:durableId="1888250982">
    <w:abstractNumId w:val="20"/>
  </w:num>
  <w:num w:numId="9" w16cid:durableId="2088185123">
    <w:abstractNumId w:val="25"/>
  </w:num>
  <w:num w:numId="10" w16cid:durableId="768045379">
    <w:abstractNumId w:val="6"/>
  </w:num>
  <w:num w:numId="11" w16cid:durableId="1233392784">
    <w:abstractNumId w:val="23"/>
  </w:num>
  <w:num w:numId="12" w16cid:durableId="588198999">
    <w:abstractNumId w:val="0"/>
  </w:num>
  <w:num w:numId="13" w16cid:durableId="67270003">
    <w:abstractNumId w:val="14"/>
  </w:num>
  <w:num w:numId="14" w16cid:durableId="227692164">
    <w:abstractNumId w:val="30"/>
  </w:num>
  <w:num w:numId="15" w16cid:durableId="667681065">
    <w:abstractNumId w:val="17"/>
  </w:num>
  <w:num w:numId="16" w16cid:durableId="416026150">
    <w:abstractNumId w:val="10"/>
  </w:num>
  <w:num w:numId="17" w16cid:durableId="314264313">
    <w:abstractNumId w:val="1"/>
  </w:num>
  <w:num w:numId="18" w16cid:durableId="1149056703">
    <w:abstractNumId w:val="19"/>
  </w:num>
  <w:num w:numId="19" w16cid:durableId="2066489088">
    <w:abstractNumId w:val="27"/>
  </w:num>
  <w:num w:numId="20" w16cid:durableId="993027679">
    <w:abstractNumId w:val="29"/>
  </w:num>
  <w:num w:numId="21" w16cid:durableId="1805856060">
    <w:abstractNumId w:val="5"/>
  </w:num>
  <w:num w:numId="22" w16cid:durableId="1600992293">
    <w:abstractNumId w:val="2"/>
  </w:num>
  <w:num w:numId="23" w16cid:durableId="9182018">
    <w:abstractNumId w:val="4"/>
  </w:num>
  <w:num w:numId="24" w16cid:durableId="874078853">
    <w:abstractNumId w:val="18"/>
  </w:num>
  <w:num w:numId="25" w16cid:durableId="345836964">
    <w:abstractNumId w:val="24"/>
  </w:num>
  <w:num w:numId="26" w16cid:durableId="1541210365">
    <w:abstractNumId w:val="8"/>
  </w:num>
  <w:num w:numId="27" w16cid:durableId="1900359121">
    <w:abstractNumId w:val="7"/>
  </w:num>
  <w:num w:numId="28" w16cid:durableId="1387533966">
    <w:abstractNumId w:val="22"/>
  </w:num>
  <w:num w:numId="29" w16cid:durableId="786974609">
    <w:abstractNumId w:val="21"/>
  </w:num>
  <w:num w:numId="30" w16cid:durableId="245965458">
    <w:abstractNumId w:val="16"/>
  </w:num>
  <w:num w:numId="31" w16cid:durableId="1373187959">
    <w:abstractNumId w:val="31"/>
  </w:num>
  <w:num w:numId="32" w16cid:durableId="14150135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4A"/>
    <w:rsid w:val="000B2545"/>
    <w:rsid w:val="001803F1"/>
    <w:rsid w:val="001871F9"/>
    <w:rsid w:val="001A18E8"/>
    <w:rsid w:val="002F2DAA"/>
    <w:rsid w:val="003C1342"/>
    <w:rsid w:val="003C1609"/>
    <w:rsid w:val="003C6CF2"/>
    <w:rsid w:val="00443D48"/>
    <w:rsid w:val="00487C56"/>
    <w:rsid w:val="005C758D"/>
    <w:rsid w:val="00795EDC"/>
    <w:rsid w:val="008459DD"/>
    <w:rsid w:val="0087714A"/>
    <w:rsid w:val="00917DA8"/>
    <w:rsid w:val="00A3060C"/>
    <w:rsid w:val="00B35AB6"/>
    <w:rsid w:val="00B46EED"/>
    <w:rsid w:val="00B521A1"/>
    <w:rsid w:val="00CE11BE"/>
    <w:rsid w:val="00D07261"/>
    <w:rsid w:val="00DB6E44"/>
    <w:rsid w:val="00E33F2C"/>
    <w:rsid w:val="00EB2183"/>
    <w:rsid w:val="00ED3589"/>
    <w:rsid w:val="00F0765A"/>
    <w:rsid w:val="00F21B1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D6FA"/>
  <w15:chartTrackingRefBased/>
  <w15:docId w15:val="{E712E600-7DD8-492A-84A2-EF736C21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B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7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7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771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71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71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71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71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71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71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714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714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87714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714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714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71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71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71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714A"/>
    <w:rPr>
      <w:rFonts w:eastAsiaTheme="majorEastAsia" w:cstheme="majorBidi"/>
      <w:color w:val="272727" w:themeColor="text1" w:themeTint="D8"/>
    </w:rPr>
  </w:style>
  <w:style w:type="paragraph" w:styleId="Ttulo">
    <w:name w:val="Title"/>
    <w:basedOn w:val="Normal"/>
    <w:next w:val="Normal"/>
    <w:link w:val="TtuloCar"/>
    <w:uiPriority w:val="10"/>
    <w:qFormat/>
    <w:rsid w:val="00877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71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71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71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714A"/>
    <w:pPr>
      <w:spacing w:before="160"/>
      <w:jc w:val="center"/>
    </w:pPr>
    <w:rPr>
      <w:i/>
      <w:iCs/>
      <w:color w:val="404040" w:themeColor="text1" w:themeTint="BF"/>
    </w:rPr>
  </w:style>
  <w:style w:type="character" w:customStyle="1" w:styleId="CitaCar">
    <w:name w:val="Cita Car"/>
    <w:basedOn w:val="Fuentedeprrafopredeter"/>
    <w:link w:val="Cita"/>
    <w:uiPriority w:val="29"/>
    <w:rsid w:val="0087714A"/>
    <w:rPr>
      <w:i/>
      <w:iCs/>
      <w:color w:val="404040" w:themeColor="text1" w:themeTint="BF"/>
    </w:rPr>
  </w:style>
  <w:style w:type="paragraph" w:styleId="Prrafodelista">
    <w:name w:val="List Paragraph"/>
    <w:basedOn w:val="Normal"/>
    <w:uiPriority w:val="34"/>
    <w:qFormat/>
    <w:rsid w:val="0087714A"/>
    <w:pPr>
      <w:ind w:left="720"/>
      <w:contextualSpacing/>
    </w:pPr>
  </w:style>
  <w:style w:type="character" w:styleId="nfasisintenso">
    <w:name w:val="Intense Emphasis"/>
    <w:basedOn w:val="Fuentedeprrafopredeter"/>
    <w:uiPriority w:val="21"/>
    <w:qFormat/>
    <w:rsid w:val="0087714A"/>
    <w:rPr>
      <w:i/>
      <w:iCs/>
      <w:color w:val="0F4761" w:themeColor="accent1" w:themeShade="BF"/>
    </w:rPr>
  </w:style>
  <w:style w:type="paragraph" w:styleId="Citadestacada">
    <w:name w:val="Intense Quote"/>
    <w:basedOn w:val="Normal"/>
    <w:next w:val="Normal"/>
    <w:link w:val="CitadestacadaCar"/>
    <w:uiPriority w:val="30"/>
    <w:qFormat/>
    <w:rsid w:val="00877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714A"/>
    <w:rPr>
      <w:i/>
      <w:iCs/>
      <w:color w:val="0F4761" w:themeColor="accent1" w:themeShade="BF"/>
    </w:rPr>
  </w:style>
  <w:style w:type="character" w:styleId="Referenciaintensa">
    <w:name w:val="Intense Reference"/>
    <w:basedOn w:val="Fuentedeprrafopredeter"/>
    <w:uiPriority w:val="32"/>
    <w:qFormat/>
    <w:rsid w:val="0087714A"/>
    <w:rPr>
      <w:b/>
      <w:bCs/>
      <w:smallCaps/>
      <w:color w:val="0F4761" w:themeColor="accent1" w:themeShade="BF"/>
      <w:spacing w:val="5"/>
    </w:rPr>
  </w:style>
  <w:style w:type="paragraph" w:styleId="NormalWeb">
    <w:name w:val="Normal (Web)"/>
    <w:basedOn w:val="Normal"/>
    <w:uiPriority w:val="99"/>
    <w:semiHidden/>
    <w:unhideWhenUsed/>
    <w:rsid w:val="00EB2183"/>
    <w:pPr>
      <w:spacing w:before="100" w:beforeAutospacing="1" w:after="100" w:afterAutospacing="1" w:line="240" w:lineRule="auto"/>
    </w:pPr>
    <w:rPr>
      <w:rFonts w:ascii="Times New Roman" w:eastAsia="Times New Roman" w:hAnsi="Times New Roman" w:cs="Times New Roman"/>
      <w:kern w:val="0"/>
      <w:lang w:eastAsia="es-B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2250">
      <w:bodyDiv w:val="1"/>
      <w:marLeft w:val="0"/>
      <w:marRight w:val="0"/>
      <w:marTop w:val="0"/>
      <w:marBottom w:val="0"/>
      <w:divBdr>
        <w:top w:val="none" w:sz="0" w:space="0" w:color="auto"/>
        <w:left w:val="none" w:sz="0" w:space="0" w:color="auto"/>
        <w:bottom w:val="none" w:sz="0" w:space="0" w:color="auto"/>
        <w:right w:val="none" w:sz="0" w:space="0" w:color="auto"/>
      </w:divBdr>
      <w:divsChild>
        <w:div w:id="840194788">
          <w:marLeft w:val="0"/>
          <w:marRight w:val="0"/>
          <w:marTop w:val="0"/>
          <w:marBottom w:val="0"/>
          <w:divBdr>
            <w:top w:val="none" w:sz="0" w:space="0" w:color="auto"/>
            <w:left w:val="none" w:sz="0" w:space="0" w:color="auto"/>
            <w:bottom w:val="none" w:sz="0" w:space="0" w:color="auto"/>
            <w:right w:val="none" w:sz="0" w:space="0" w:color="auto"/>
          </w:divBdr>
          <w:divsChild>
            <w:div w:id="13966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0503">
      <w:bodyDiv w:val="1"/>
      <w:marLeft w:val="0"/>
      <w:marRight w:val="0"/>
      <w:marTop w:val="0"/>
      <w:marBottom w:val="0"/>
      <w:divBdr>
        <w:top w:val="none" w:sz="0" w:space="0" w:color="auto"/>
        <w:left w:val="none" w:sz="0" w:space="0" w:color="auto"/>
        <w:bottom w:val="none" w:sz="0" w:space="0" w:color="auto"/>
        <w:right w:val="none" w:sz="0" w:space="0" w:color="auto"/>
      </w:divBdr>
    </w:div>
    <w:div w:id="1179000236">
      <w:bodyDiv w:val="1"/>
      <w:marLeft w:val="0"/>
      <w:marRight w:val="0"/>
      <w:marTop w:val="0"/>
      <w:marBottom w:val="0"/>
      <w:divBdr>
        <w:top w:val="none" w:sz="0" w:space="0" w:color="auto"/>
        <w:left w:val="none" w:sz="0" w:space="0" w:color="auto"/>
        <w:bottom w:val="none" w:sz="0" w:space="0" w:color="auto"/>
        <w:right w:val="none" w:sz="0" w:space="0" w:color="auto"/>
      </w:divBdr>
    </w:div>
    <w:div w:id="1204248795">
      <w:bodyDiv w:val="1"/>
      <w:marLeft w:val="0"/>
      <w:marRight w:val="0"/>
      <w:marTop w:val="0"/>
      <w:marBottom w:val="0"/>
      <w:divBdr>
        <w:top w:val="none" w:sz="0" w:space="0" w:color="auto"/>
        <w:left w:val="none" w:sz="0" w:space="0" w:color="auto"/>
        <w:bottom w:val="none" w:sz="0" w:space="0" w:color="auto"/>
        <w:right w:val="none" w:sz="0" w:space="0" w:color="auto"/>
      </w:divBdr>
    </w:div>
    <w:div w:id="1236667416">
      <w:bodyDiv w:val="1"/>
      <w:marLeft w:val="0"/>
      <w:marRight w:val="0"/>
      <w:marTop w:val="0"/>
      <w:marBottom w:val="0"/>
      <w:divBdr>
        <w:top w:val="none" w:sz="0" w:space="0" w:color="auto"/>
        <w:left w:val="none" w:sz="0" w:space="0" w:color="auto"/>
        <w:bottom w:val="none" w:sz="0" w:space="0" w:color="auto"/>
        <w:right w:val="none" w:sz="0" w:space="0" w:color="auto"/>
      </w:divBdr>
    </w:div>
    <w:div w:id="1485244971">
      <w:bodyDiv w:val="1"/>
      <w:marLeft w:val="0"/>
      <w:marRight w:val="0"/>
      <w:marTop w:val="0"/>
      <w:marBottom w:val="0"/>
      <w:divBdr>
        <w:top w:val="none" w:sz="0" w:space="0" w:color="auto"/>
        <w:left w:val="none" w:sz="0" w:space="0" w:color="auto"/>
        <w:bottom w:val="none" w:sz="0" w:space="0" w:color="auto"/>
        <w:right w:val="none" w:sz="0" w:space="0" w:color="auto"/>
      </w:divBdr>
    </w:div>
    <w:div w:id="1548295963">
      <w:bodyDiv w:val="1"/>
      <w:marLeft w:val="0"/>
      <w:marRight w:val="0"/>
      <w:marTop w:val="0"/>
      <w:marBottom w:val="0"/>
      <w:divBdr>
        <w:top w:val="none" w:sz="0" w:space="0" w:color="auto"/>
        <w:left w:val="none" w:sz="0" w:space="0" w:color="auto"/>
        <w:bottom w:val="none" w:sz="0" w:space="0" w:color="auto"/>
        <w:right w:val="none" w:sz="0" w:space="0" w:color="auto"/>
      </w:divBdr>
    </w:div>
    <w:div w:id="1623459377">
      <w:bodyDiv w:val="1"/>
      <w:marLeft w:val="0"/>
      <w:marRight w:val="0"/>
      <w:marTop w:val="0"/>
      <w:marBottom w:val="0"/>
      <w:divBdr>
        <w:top w:val="none" w:sz="0" w:space="0" w:color="auto"/>
        <w:left w:val="none" w:sz="0" w:space="0" w:color="auto"/>
        <w:bottom w:val="none" w:sz="0" w:space="0" w:color="auto"/>
        <w:right w:val="none" w:sz="0" w:space="0" w:color="auto"/>
      </w:divBdr>
    </w:div>
    <w:div w:id="1731659237">
      <w:bodyDiv w:val="1"/>
      <w:marLeft w:val="0"/>
      <w:marRight w:val="0"/>
      <w:marTop w:val="0"/>
      <w:marBottom w:val="0"/>
      <w:divBdr>
        <w:top w:val="none" w:sz="0" w:space="0" w:color="auto"/>
        <w:left w:val="none" w:sz="0" w:space="0" w:color="auto"/>
        <w:bottom w:val="none" w:sz="0" w:space="0" w:color="auto"/>
        <w:right w:val="none" w:sz="0" w:space="0" w:color="auto"/>
      </w:divBdr>
    </w:div>
    <w:div w:id="1774784046">
      <w:bodyDiv w:val="1"/>
      <w:marLeft w:val="0"/>
      <w:marRight w:val="0"/>
      <w:marTop w:val="0"/>
      <w:marBottom w:val="0"/>
      <w:divBdr>
        <w:top w:val="none" w:sz="0" w:space="0" w:color="auto"/>
        <w:left w:val="none" w:sz="0" w:space="0" w:color="auto"/>
        <w:bottom w:val="none" w:sz="0" w:space="0" w:color="auto"/>
        <w:right w:val="none" w:sz="0" w:space="0" w:color="auto"/>
      </w:divBdr>
    </w:div>
    <w:div w:id="1854569267">
      <w:bodyDiv w:val="1"/>
      <w:marLeft w:val="0"/>
      <w:marRight w:val="0"/>
      <w:marTop w:val="0"/>
      <w:marBottom w:val="0"/>
      <w:divBdr>
        <w:top w:val="none" w:sz="0" w:space="0" w:color="auto"/>
        <w:left w:val="none" w:sz="0" w:space="0" w:color="auto"/>
        <w:bottom w:val="none" w:sz="0" w:space="0" w:color="auto"/>
        <w:right w:val="none" w:sz="0" w:space="0" w:color="auto"/>
      </w:divBdr>
    </w:div>
    <w:div w:id="1871918984">
      <w:bodyDiv w:val="1"/>
      <w:marLeft w:val="0"/>
      <w:marRight w:val="0"/>
      <w:marTop w:val="0"/>
      <w:marBottom w:val="0"/>
      <w:divBdr>
        <w:top w:val="none" w:sz="0" w:space="0" w:color="auto"/>
        <w:left w:val="none" w:sz="0" w:space="0" w:color="auto"/>
        <w:bottom w:val="none" w:sz="0" w:space="0" w:color="auto"/>
        <w:right w:val="none" w:sz="0" w:space="0" w:color="auto"/>
      </w:divBdr>
    </w:div>
    <w:div w:id="205719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519</Words>
  <Characters>2857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Amadeo Herrera Zarate</dc:creator>
  <cp:keywords/>
  <dc:description/>
  <cp:lastModifiedBy>Alain Amadeo Herrera Zarate</cp:lastModifiedBy>
  <cp:revision>3</cp:revision>
  <dcterms:created xsi:type="dcterms:W3CDTF">2026-04-22T02:24:00Z</dcterms:created>
  <dcterms:modified xsi:type="dcterms:W3CDTF">2026-04-22T02:29:00Z</dcterms:modified>
</cp:coreProperties>
</file>