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089BF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INFRAESTRUCTURA (UI)</w:t>
      </w:r>
    </w:p>
    <w:p w14:paraId="6DC1443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Según el anexo 5.2.UI-1 para las gestiones 2021 – 2025 contamos con la siguiente información:</w:t>
      </w:r>
    </w:p>
    <w:p w14:paraId="2A62FE66" w14:textId="77777777" w:rsidR="00982F68" w:rsidRPr="00982F68" w:rsidRDefault="00982F68" w:rsidP="00982F68">
      <w:pPr>
        <w:numPr>
          <w:ilvl w:val="0"/>
          <w:numId w:val="5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 concertación por distrito según POA de cada gestión.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75"/>
        <w:gridCol w:w="975"/>
        <w:gridCol w:w="975"/>
        <w:gridCol w:w="905"/>
      </w:tblGrid>
      <w:tr w:rsidR="00982F68" w:rsidRPr="00982F68" w14:paraId="57F727B7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51D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92B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18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935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19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B1B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21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D6D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TOTAL</w:t>
            </w:r>
          </w:p>
        </w:tc>
      </w:tr>
      <w:tr w:rsidR="00982F68" w:rsidRPr="00982F68" w14:paraId="7CCCFE6E" w14:textId="77777777" w:rsidTr="00982F68">
        <w:tc>
          <w:tcPr>
            <w:tcW w:w="0" w:type="auto"/>
            <w:tcBorders>
              <w:top w:val="single" w:sz="4" w:space="0" w:color="8EAADB"/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7750" w14:textId="2A98BACA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</w:t>
            </w:r>
            <w:r w:rsidR="00246F2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D1E1E" w14:textId="4002BE36" w:rsidR="00982F68" w:rsidRPr="00982F68" w:rsidRDefault="00246F20" w:rsidP="00982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2782" w14:textId="177745F2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</w:t>
            </w:r>
            <w:r w:rsidR="00246F20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D926C" w14:textId="31FBF89D" w:rsidR="00982F68" w:rsidRPr="00982F68" w:rsidRDefault="00246F20" w:rsidP="00982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1E2A" w14:textId="7155E231" w:rsidR="00982F68" w:rsidRPr="00982F68" w:rsidRDefault="00246F20" w:rsidP="00982F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</w:tr>
    </w:tbl>
    <w:p w14:paraId="7844DC71" w14:textId="676D1CB7" w:rsidR="00982F68" w:rsidRPr="00982F68" w:rsidRDefault="00982F68" w:rsidP="00982F68">
      <w:pPr>
        <w:rPr>
          <w:rFonts w:ascii="Arial" w:hAnsi="Arial" w:cs="Arial"/>
        </w:rPr>
      </w:pPr>
    </w:p>
    <w:p w14:paraId="04C9C4A1" w14:textId="77777777" w:rsidR="00982F68" w:rsidRPr="00982F68" w:rsidRDefault="00982F68" w:rsidP="00982F68">
      <w:pPr>
        <w:numPr>
          <w:ilvl w:val="0"/>
          <w:numId w:val="6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definitivas por gestión </w:t>
      </w:r>
    </w:p>
    <w:p w14:paraId="742ECFC4" w14:textId="77777777" w:rsidR="00246F20" w:rsidRDefault="00246F20" w:rsidP="00982F68">
      <w:pPr>
        <w:rPr>
          <w:rFonts w:ascii="Arial" w:hAnsi="Arial" w:cs="Arial"/>
        </w:rPr>
      </w:pPr>
      <w:r>
        <w:rPr>
          <w:rFonts w:ascii="Arial" w:hAnsi="Arial" w:cs="Arial"/>
        </w:rPr>
        <w:t>No se reportan actas definitivas para la gestión 2026</w:t>
      </w:r>
    </w:p>
    <w:p w14:paraId="3099D116" w14:textId="6F2953A2" w:rsidR="00982F68" w:rsidRPr="00246F20" w:rsidRDefault="00246F20" w:rsidP="00982F68">
      <w:pPr>
        <w:rPr>
          <w:rFonts w:ascii="Arial" w:hAnsi="Arial" w:cs="Arial"/>
          <w:bCs/>
        </w:rPr>
      </w:pPr>
      <w:r w:rsidRPr="00246F20">
        <w:rPr>
          <w:rFonts w:ascii="Arial" w:hAnsi="Arial" w:cs="Arial"/>
          <w:bCs/>
        </w:rPr>
        <w:t>Se consideran 15 proyectos de continuidad 5 por distrito y 93 proyectos nuevos en realización.</w:t>
      </w:r>
    </w:p>
    <w:p w14:paraId="2D35AE36" w14:textId="17F70B1E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FISCALIZACIÓN TERRITORIAL (UFT)</w:t>
      </w:r>
    </w:p>
    <w:p w14:paraId="7F2FCFC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el marco del proceso de transición institucional, se realizó la revisión y análisis de la información contenida en los registros de procesos administrativos de fiscalización territorial correspondientes a las gestiones 2021 a 2026, con base en la documentación disponible en archivos institucionales.</w:t>
      </w:r>
    </w:p>
    <w:p w14:paraId="6D0BB855" w14:textId="674FFC5F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 Es importante señalar que no se cuenta con información correspondiente a la gestión 2024, por lo que el análisis se sustenta en los datos disponibles de las gestiones 2021, 2022, 2023, 2025 y 2026, así como en la identificación de procesos en curso que presentan continuidad administrativa entre dichas gestiones.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056"/>
        <w:gridCol w:w="1218"/>
        <w:gridCol w:w="1058"/>
        <w:gridCol w:w="1175"/>
        <w:gridCol w:w="1154"/>
        <w:gridCol w:w="1847"/>
      </w:tblGrid>
      <w:tr w:rsidR="00982F68" w:rsidRPr="00982F68" w14:paraId="12F3D6C4" w14:textId="77777777" w:rsidTr="00982F68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EBA640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Gestión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9C760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 privado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68AC5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Municipal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A7FEC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Publico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E650E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procesos vacíos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BB106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proofErr w:type="spellStart"/>
            <w:r w:rsidRPr="00982F68">
              <w:rPr>
                <w:rFonts w:ascii="Arial" w:hAnsi="Arial" w:cs="Arial"/>
                <w:b/>
                <w:bCs/>
              </w:rPr>
              <w:t>Nº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de procesos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72034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982F68" w:rsidRPr="00982F68" w14:paraId="791E9796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C8A782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72F448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B6403B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46F08C0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538DA1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112526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76F03B4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 xml:space="preserve">Se evidencia la ausencia de información en las casillas </w:t>
            </w:r>
            <w:proofErr w:type="spellStart"/>
            <w:r w:rsidRPr="00982F68">
              <w:rPr>
                <w:rFonts w:ascii="Arial" w:hAnsi="Arial" w:cs="Arial"/>
              </w:rPr>
              <w:t>N°</w:t>
            </w:r>
            <w:proofErr w:type="spellEnd"/>
            <w:r w:rsidRPr="00982F68">
              <w:rPr>
                <w:rFonts w:ascii="Arial" w:hAnsi="Arial" w:cs="Arial"/>
              </w:rPr>
              <w:t xml:space="preserve"> 27 y 28 del registro.</w:t>
            </w:r>
          </w:p>
        </w:tc>
      </w:tr>
      <w:tr w:rsidR="00982F68" w:rsidRPr="00982F68" w14:paraId="0BAE3214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25AA474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07E783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ED7B47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4343B0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2C9AC6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7DE6AC1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15662BE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 xml:space="preserve">No se cuenta con información registrada en la casilla </w:t>
            </w:r>
            <w:proofErr w:type="spellStart"/>
            <w:r w:rsidRPr="00982F68">
              <w:rPr>
                <w:rFonts w:ascii="Arial" w:hAnsi="Arial" w:cs="Arial"/>
              </w:rPr>
              <w:t>N°</w:t>
            </w:r>
            <w:proofErr w:type="spellEnd"/>
            <w:r w:rsidRPr="00982F68">
              <w:rPr>
                <w:rFonts w:ascii="Arial" w:hAnsi="Arial" w:cs="Arial"/>
              </w:rPr>
              <w:t xml:space="preserve"> 34.</w:t>
            </w:r>
          </w:p>
        </w:tc>
      </w:tr>
      <w:tr w:rsidR="00982F68" w:rsidRPr="00982F68" w14:paraId="78720CA0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4C3ECD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B623AE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27A128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02656E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9E0D82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21D109C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B71666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</w:tr>
    </w:tbl>
    <w:p w14:paraId="4A5B5188" w14:textId="77777777" w:rsidR="00982F68" w:rsidRPr="00982F68" w:rsidRDefault="00982F68" w:rsidP="00982F68">
      <w:pPr>
        <w:rPr>
          <w:rFonts w:ascii="Arial" w:hAnsi="Arial" w:cs="Arial"/>
        </w:rPr>
      </w:pPr>
    </w:p>
    <w:p w14:paraId="2C53AE8A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Se identifican inconsistencias en el registro de información (campos vacíos y duplicidad en la gestión 2026).</w:t>
      </w:r>
    </w:p>
    <w:p w14:paraId="57D5E82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Es necesario fortalecer los mecanismos de clasificación y registro de procesos.</w:t>
      </w:r>
    </w:p>
    <w:p w14:paraId="3578AE21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En cuanto a la tipología de los procesos, se identifica un claro predominio de intervenciones en predios de carácter privado, asociados principalmente a </w:t>
      </w:r>
      <w:r w:rsidRPr="00982F68">
        <w:rPr>
          <w:rFonts w:ascii="Arial" w:hAnsi="Arial" w:cs="Arial"/>
        </w:rPr>
        <w:lastRenderedPageBreak/>
        <w:t>construcciones sin autorización, modificaciones no aprobadas, movimientos de tierra sin permiso y otros incumplimientos de la normativa urbanística vigente. En menor proporción, se registran procesos vinculados a propiedad municipal, relacionados con ocupación indebida o afectación de bienes de dominio público.</w:t>
      </w:r>
    </w:p>
    <w:p w14:paraId="71BCEF7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Respecto a la distribución territorial, los procesos de fiscalización se concentran principalmente en zonas correspondientes al </w:t>
      </w:r>
      <w:proofErr w:type="spellStart"/>
      <w:r w:rsidRPr="00982F68">
        <w:rPr>
          <w:rFonts w:ascii="Arial" w:hAnsi="Arial" w:cs="Arial"/>
        </w:rPr>
        <w:t>Macrodistrito</w:t>
      </w:r>
      <w:proofErr w:type="spellEnd"/>
      <w:r w:rsidRPr="00982F68">
        <w:rPr>
          <w:rFonts w:ascii="Arial" w:hAnsi="Arial" w:cs="Arial"/>
        </w:rPr>
        <w:t xml:space="preserve"> Sur, destacando áreas como Achumani, </w:t>
      </w:r>
      <w:proofErr w:type="spellStart"/>
      <w:r w:rsidRPr="00982F68">
        <w:rPr>
          <w:rFonts w:ascii="Arial" w:hAnsi="Arial" w:cs="Arial"/>
        </w:rPr>
        <w:t>Irpavi</w:t>
      </w:r>
      <w:proofErr w:type="spellEnd"/>
      <w:r w:rsidRPr="00982F68">
        <w:rPr>
          <w:rFonts w:ascii="Arial" w:hAnsi="Arial" w:cs="Arial"/>
        </w:rPr>
        <w:t xml:space="preserve">, Calacoto, Obrajes, Bella Vista, </w:t>
      </w:r>
      <w:proofErr w:type="spellStart"/>
      <w:r w:rsidRPr="00982F68">
        <w:rPr>
          <w:rFonts w:ascii="Arial" w:hAnsi="Arial" w:cs="Arial"/>
        </w:rPr>
        <w:t>Seguencoma</w:t>
      </w:r>
      <w:proofErr w:type="spellEnd"/>
      <w:r w:rsidRPr="00982F68">
        <w:rPr>
          <w:rFonts w:ascii="Arial" w:hAnsi="Arial" w:cs="Arial"/>
        </w:rPr>
        <w:t xml:space="preserve">, Cota </w:t>
      </w:r>
      <w:proofErr w:type="spellStart"/>
      <w:r w:rsidRPr="00982F68">
        <w:rPr>
          <w:rFonts w:ascii="Arial" w:hAnsi="Arial" w:cs="Arial"/>
        </w:rPr>
        <w:t>Cota</w:t>
      </w:r>
      <w:proofErr w:type="spellEnd"/>
      <w:r w:rsidRPr="00982F68">
        <w:rPr>
          <w:rFonts w:ascii="Arial" w:hAnsi="Arial" w:cs="Arial"/>
        </w:rPr>
        <w:t xml:space="preserve"> y </w:t>
      </w:r>
      <w:proofErr w:type="spellStart"/>
      <w:r w:rsidRPr="00982F68">
        <w:rPr>
          <w:rFonts w:ascii="Arial" w:hAnsi="Arial" w:cs="Arial"/>
        </w:rPr>
        <w:t>Auquisamaña</w:t>
      </w:r>
      <w:proofErr w:type="spellEnd"/>
      <w:r w:rsidRPr="00982F68">
        <w:rPr>
          <w:rFonts w:ascii="Arial" w:hAnsi="Arial" w:cs="Arial"/>
        </w:rPr>
        <w:t>, las cuales presentan alta dinámica urbana y presión constructiva. Esta concentración evidencia la necesidad de reforzar mecanismos de control en sectores con mayor crecimiento y consolidación urbana.</w:t>
      </w:r>
    </w:p>
    <w:p w14:paraId="4E685127" w14:textId="77777777" w:rsidR="00982F68" w:rsidRPr="00982F68" w:rsidRDefault="00982F68" w:rsidP="00982F68">
      <w:pPr>
        <w:rPr>
          <w:rFonts w:ascii="Arial" w:hAnsi="Arial" w:cs="Arial"/>
        </w:rPr>
      </w:pPr>
    </w:p>
    <w:p w14:paraId="255D2931" w14:textId="77777777" w:rsidR="00982F68" w:rsidRPr="00982F68" w:rsidRDefault="00982F68" w:rsidP="00982F68">
      <w:pPr>
        <w:rPr>
          <w:rFonts w:ascii="Arial" w:hAnsi="Arial" w:cs="Arial"/>
          <w:b/>
          <w:bCs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</w:rPr>
        <w:t>PROCESOS DEL ÁREA LEGAL (UFT)</w:t>
      </w:r>
    </w:p>
    <w:p w14:paraId="0202030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·         </w:t>
      </w:r>
      <w:r w:rsidRPr="00982F68">
        <w:rPr>
          <w:rFonts w:ascii="Arial" w:hAnsi="Arial" w:cs="Arial"/>
          <w:b/>
          <w:bCs/>
        </w:rPr>
        <w:t xml:space="preserve">Amparos Constitucionales </w:t>
      </w:r>
      <w:proofErr w:type="spellStart"/>
      <w:r w:rsidRPr="00982F68">
        <w:rPr>
          <w:rFonts w:ascii="Arial" w:hAnsi="Arial" w:cs="Arial"/>
          <w:b/>
          <w:bCs/>
        </w:rPr>
        <w:t>gestion</w:t>
      </w:r>
      <w:proofErr w:type="spellEnd"/>
      <w:r w:rsidRPr="00982F68">
        <w:rPr>
          <w:rFonts w:ascii="Arial" w:hAnsi="Arial" w:cs="Arial"/>
          <w:b/>
          <w:bCs/>
        </w:rPr>
        <w:t xml:space="preserve"> 2026</w:t>
      </w:r>
    </w:p>
    <w:p w14:paraId="223A452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Del análisis de la información disponible, se evidencia la interposición de 10 acciones de amparo constitucional, de las cuales 4 fueron concedidas, 5 denegadas y 1 </w:t>
      </w:r>
      <w:proofErr w:type="gramStart"/>
      <w:r w:rsidRPr="00982F68">
        <w:rPr>
          <w:rFonts w:ascii="Arial" w:hAnsi="Arial" w:cs="Arial"/>
        </w:rPr>
        <w:t>desestimada .</w:t>
      </w:r>
      <w:proofErr w:type="gramEnd"/>
    </w:p>
    <w:p w14:paraId="307B084A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Las acciones concedidas se sustentan principalmente en la vulneración de derechos fundamentales, tales como el debido proceso (defectos en la notificación), derecho de petición (falta de atención a solicitudes) y el principio de legalidad administrativa.</w:t>
      </w:r>
    </w:p>
    <w:p w14:paraId="7AF9CEAE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cuanto a las acciones denegadas, estas responden a la inexistencia de vulneración de derechos o aspectos de competencia y jurisdicción, destacándose conflictos territoriales. Asimismo, algunas resoluciones constitucionales han dispuesto la reconducción de procedimientos administrativos, evidenciando deficiencias en la tramitación interna.</w:t>
      </w:r>
    </w:p>
    <w:p w14:paraId="5C7AD435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  <w:b/>
          <w:bCs/>
        </w:rPr>
        <w:t xml:space="preserve">·         Procesos Coactivos Fiscales </w:t>
      </w:r>
      <w:proofErr w:type="spellStart"/>
      <w:r w:rsidRPr="00982F68">
        <w:rPr>
          <w:rFonts w:ascii="Arial" w:hAnsi="Arial" w:cs="Arial"/>
          <w:b/>
          <w:bCs/>
        </w:rPr>
        <w:t>gestion</w:t>
      </w:r>
      <w:proofErr w:type="spellEnd"/>
      <w:r w:rsidRPr="00982F68">
        <w:rPr>
          <w:rFonts w:ascii="Arial" w:hAnsi="Arial" w:cs="Arial"/>
          <w:b/>
          <w:bCs/>
        </w:rPr>
        <w:t xml:space="preserve"> 2026</w:t>
      </w:r>
    </w:p>
    <w:p w14:paraId="6F2BDDC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Se identifican 8 procesos coactivos fiscales en curso, radicados en juzgados administrativos </w:t>
      </w:r>
      <w:proofErr w:type="gramStart"/>
      <w:r w:rsidRPr="00982F68">
        <w:rPr>
          <w:rFonts w:ascii="Arial" w:hAnsi="Arial" w:cs="Arial"/>
        </w:rPr>
        <w:t>competentes .</w:t>
      </w:r>
      <w:proofErr w:type="gramEnd"/>
    </w:p>
    <w:p w14:paraId="00E8040C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La mayoría de los procesos se encuentran en fase inicial, caracterizados por la presentación de demanda pendiente de admisión y la subsanación de observaciones formales.</w:t>
      </w:r>
    </w:p>
    <w:p w14:paraId="5FEFF170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Se advierten incidencias jurídico-procedimentales, tales como:</w:t>
      </w:r>
    </w:p>
    <w:p w14:paraId="130E2E8F" w14:textId="77777777" w:rsidR="00982F68" w:rsidRPr="00982F68" w:rsidRDefault="00982F68" w:rsidP="00982F68">
      <w:pPr>
        <w:numPr>
          <w:ilvl w:val="0"/>
          <w:numId w:val="9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Incumplimiento de requisitos formales (recaudos judiciales, certificaciones DDRR y SEGIP).</w:t>
      </w:r>
    </w:p>
    <w:p w14:paraId="221CCCDD" w14:textId="77777777" w:rsidR="00982F68" w:rsidRPr="00982F68" w:rsidRDefault="00982F68" w:rsidP="00982F68">
      <w:pPr>
        <w:numPr>
          <w:ilvl w:val="0"/>
          <w:numId w:val="9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Dilaciones procesales por observaciones no subsanadas oportunamente.</w:t>
      </w:r>
    </w:p>
    <w:p w14:paraId="45EBF481" w14:textId="77777777" w:rsidR="00982F68" w:rsidRPr="00982F68" w:rsidRDefault="00982F68" w:rsidP="00982F68">
      <w:pPr>
        <w:numPr>
          <w:ilvl w:val="0"/>
          <w:numId w:val="9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Aplicación de medidas precautorias, como el congelamiento de cuentas.</w:t>
      </w:r>
    </w:p>
    <w:p w14:paraId="080FD7E0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 </w:t>
      </w:r>
    </w:p>
    <w:p w14:paraId="62D96C2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Es importante señalar que el presente análisis se sustenta exclusivamente en la información disponible correspondiente a las gestiones 2026, no contándose con información documentada ni registros de las gestiones 2021 a 2025 que permitan efectuar una evaluación histórica, comparativa o evolutiva de los procesos. </w:t>
      </w:r>
    </w:p>
    <w:p w14:paraId="1514805E" w14:textId="77777777" w:rsidR="00982F68" w:rsidRPr="00982F68" w:rsidRDefault="00982F68" w:rsidP="00982F68">
      <w:pPr>
        <w:rPr>
          <w:rFonts w:ascii="Arial" w:hAnsi="Arial" w:cs="Arial"/>
        </w:rPr>
      </w:pPr>
    </w:p>
    <w:p w14:paraId="5906971B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lastRenderedPageBreak/>
        <w:t>UNIDAD DE MANTENIMIENTO Y RESPUESTA INMEDIATA (UMRI)</w:t>
      </w:r>
    </w:p>
    <w:p w14:paraId="6CDFCC1C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de mantenimiento y respuesta inmediata de las gestiones 2021 a la 2024.</w:t>
      </w:r>
    </w:p>
    <w:p w14:paraId="60A63E30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cuenta con información de las gestiones 2025 y 2026 según el siguiente resumen: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885"/>
        <w:gridCol w:w="1532"/>
        <w:gridCol w:w="1743"/>
        <w:gridCol w:w="1711"/>
        <w:gridCol w:w="1658"/>
      </w:tblGrid>
      <w:tr w:rsidR="00982F68" w:rsidRPr="00982F68" w14:paraId="24D0D765" w14:textId="77777777" w:rsidTr="00982F68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CA68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Gestión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7E7DB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Distrito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AA819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*RA Casos de emergencia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39839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RA Solicitudes vecinales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79677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*RM centros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82D12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RM Unidades </w:t>
            </w:r>
          </w:p>
          <w:p w14:paraId="4F9F140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educativas</w:t>
            </w:r>
          </w:p>
        </w:tc>
      </w:tr>
      <w:tr w:rsidR="00982F68" w:rsidRPr="00982F68" w14:paraId="3047D6C7" w14:textId="77777777" w:rsidTr="00982F68">
        <w:trPr>
          <w:trHeight w:val="57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D44BC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6BCBA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70FF5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008A7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67 intervenciones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CDCE1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8 intervenciones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689C7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32 intervenciones</w:t>
            </w:r>
          </w:p>
        </w:tc>
      </w:tr>
      <w:tr w:rsidR="00982F68" w:rsidRPr="00982F68" w14:paraId="55FD6BED" w14:textId="77777777" w:rsidTr="00982F68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75DB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A2417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51B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C6DC9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22 intervenciones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9FB3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6CC0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</w:tr>
      <w:tr w:rsidR="00982F68" w:rsidRPr="00982F68" w14:paraId="712F1738" w14:textId="77777777" w:rsidTr="00982F68">
        <w:trPr>
          <w:trHeight w:val="5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23EF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D6315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0C07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5341A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60 intervenciones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BF7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3FDD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</w:tr>
    </w:tbl>
    <w:p w14:paraId="369ABCED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RA: Reporte de Atención</w:t>
      </w:r>
    </w:p>
    <w:p w14:paraId="694E940E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RM: Reporte de mantenimiento</w:t>
      </w:r>
    </w:p>
    <w:p w14:paraId="0692D3A0" w14:textId="77777777" w:rsid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Contamos con información de la gestión 2025. Según Anexo 5.</w:t>
      </w:r>
      <w:proofErr w:type="gramStart"/>
      <w:r w:rsidRPr="00982F68">
        <w:rPr>
          <w:rFonts w:ascii="Arial" w:hAnsi="Arial" w:cs="Arial"/>
        </w:rPr>
        <w:t>2.UMRI</w:t>
      </w:r>
      <w:proofErr w:type="gramEnd"/>
      <w:r w:rsidRPr="00982F68">
        <w:rPr>
          <w:rFonts w:ascii="Arial" w:hAnsi="Arial" w:cs="Arial"/>
        </w:rPr>
        <w:t>-1  y del primer trimestre de la gestión 2026, según Anexo 5.2.UMRI-2</w:t>
      </w:r>
    </w:p>
    <w:p w14:paraId="4A82746B" w14:textId="77777777" w:rsidR="00982F68" w:rsidRPr="00982F68" w:rsidRDefault="00982F68" w:rsidP="00982F68">
      <w:pPr>
        <w:rPr>
          <w:rFonts w:ascii="Arial" w:hAnsi="Arial" w:cs="Arial"/>
        </w:rPr>
      </w:pPr>
      <w:bookmarkStart w:id="0" w:name="_GoBack"/>
      <w:bookmarkEnd w:id="0"/>
    </w:p>
    <w:p w14:paraId="49CD623D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SECCIÓN DE DESARROLLO INTEGRAL</w:t>
      </w:r>
    </w:p>
    <w:p w14:paraId="673E9214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acerca de las contrataciones o actividades realizadas de las gestiones 2021 – 2025.</w:t>
      </w:r>
    </w:p>
    <w:p w14:paraId="6676F3E3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Para la gestión 2026 existen 9 carpetas en proceso de ejecución de procesos de contratación en curso suspendidas por proceso de transición para unidades educativas de los distritos 18, 19 y 21.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9"/>
        <w:gridCol w:w="1269"/>
      </w:tblGrid>
      <w:tr w:rsidR="00982F68" w:rsidRPr="00982F68" w14:paraId="0DF3F0A0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C000"/>
              <w:left w:val="single" w:sz="6" w:space="0" w:color="FFC000"/>
              <w:bottom w:val="single" w:sz="6" w:space="0" w:color="FFC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77378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Objeto de la contratación</w:t>
            </w:r>
          </w:p>
        </w:tc>
        <w:tc>
          <w:tcPr>
            <w:tcW w:w="0" w:type="auto"/>
            <w:tcBorders>
              <w:top w:val="single" w:sz="6" w:space="0" w:color="FFC000"/>
              <w:bottom w:val="single" w:sz="6" w:space="0" w:color="FFC000"/>
              <w:right w:val="single" w:sz="6" w:space="0" w:color="FFC000"/>
            </w:tcBorders>
            <w:shd w:val="clear" w:color="auto" w:fill="FFC0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99739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Monto (Bs)</w:t>
            </w:r>
          </w:p>
        </w:tc>
      </w:tr>
      <w:tr w:rsidR="00982F68" w:rsidRPr="00982F68" w14:paraId="7C7098AE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C000"/>
              <w:left w:val="single" w:sz="6" w:space="0" w:color="FFD966"/>
              <w:bottom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62E74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 xml:space="preserve">Adquisición de bolígrafos, marcadores, </w:t>
            </w:r>
            <w:proofErr w:type="spellStart"/>
            <w:r w:rsidRPr="00982F68">
              <w:rPr>
                <w:rFonts w:ascii="Arial" w:hAnsi="Arial" w:cs="Arial"/>
                <w:b/>
                <w:bCs/>
              </w:rPr>
              <w:t>tampos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y otros, para unidades educativas del distrito 18</w:t>
            </w:r>
          </w:p>
        </w:tc>
        <w:tc>
          <w:tcPr>
            <w:tcW w:w="0" w:type="auto"/>
            <w:tcBorders>
              <w:top w:val="single" w:sz="6" w:space="0" w:color="FFC000"/>
              <w:bottom w:val="single" w:sz="6" w:space="0" w:color="FFD966"/>
              <w:right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4EFDF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10.999,90</w:t>
            </w:r>
          </w:p>
        </w:tc>
      </w:tr>
      <w:tr w:rsidR="00982F68" w:rsidRPr="00982F68" w14:paraId="41D6CB60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9E49C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Adquisición de desinfectantes, lavandina, ambientador, haragán y otros, para unidades educativas del distrito 18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80B61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19.999,80</w:t>
            </w:r>
          </w:p>
        </w:tc>
      </w:tr>
      <w:tr w:rsidR="00982F68" w:rsidRPr="00982F68" w14:paraId="38E481C7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450A1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Adquisición de papel bond, tamaño carta y oficio para unidades educativas del distrito 18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A15FC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3.000,00</w:t>
            </w:r>
          </w:p>
        </w:tc>
      </w:tr>
      <w:tr w:rsidR="00982F68" w:rsidRPr="00982F68" w14:paraId="5E4846EA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538E6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 xml:space="preserve">Adquisición de bolígrafos, marcadores, </w:t>
            </w:r>
            <w:proofErr w:type="spellStart"/>
            <w:r w:rsidRPr="00982F68">
              <w:rPr>
                <w:rFonts w:ascii="Arial" w:hAnsi="Arial" w:cs="Arial"/>
                <w:b/>
                <w:bCs/>
              </w:rPr>
              <w:t>tampos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y otros, para unidades educativas del distrito 19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89E5F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7.999,40</w:t>
            </w:r>
          </w:p>
        </w:tc>
      </w:tr>
      <w:tr w:rsidR="00982F68" w:rsidRPr="00982F68" w14:paraId="71BF96D2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D5678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Adquisición de desinfectantes, lavandina, ambientador, haragán y otros, para unidades educativas del distrito 19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6F1B52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18.998,80</w:t>
            </w:r>
          </w:p>
        </w:tc>
      </w:tr>
      <w:tr w:rsidR="00982F68" w:rsidRPr="00982F68" w14:paraId="2BE7CB90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09E79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lastRenderedPageBreak/>
              <w:t>Adquisición de papel bond, tamaño carta y oficio para unidades educativas del distrito 19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060B2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6.995,00</w:t>
            </w:r>
          </w:p>
        </w:tc>
      </w:tr>
      <w:tr w:rsidR="00982F68" w:rsidRPr="00982F68" w14:paraId="7DBFAD45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7923B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 xml:space="preserve">Adquisición de bolígrafos, marcadores, </w:t>
            </w:r>
            <w:proofErr w:type="spellStart"/>
            <w:r w:rsidRPr="00982F68">
              <w:rPr>
                <w:rFonts w:ascii="Arial" w:hAnsi="Arial" w:cs="Arial"/>
                <w:b/>
                <w:bCs/>
              </w:rPr>
              <w:t>tampos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y otros, para unidades educativas del distrito 21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5BD32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14.999,60</w:t>
            </w:r>
          </w:p>
        </w:tc>
      </w:tr>
      <w:tr w:rsidR="00982F68" w:rsidRPr="00982F68" w14:paraId="7DE637A3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671BD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Adquisición de desinfectantes, lavandina, ambientador, haragán y otros, para unidades educativas del distrito 21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A2DC3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19.999,80</w:t>
            </w:r>
          </w:p>
        </w:tc>
      </w:tr>
      <w:tr w:rsidR="00982F68" w:rsidRPr="00982F68" w14:paraId="29738609" w14:textId="77777777" w:rsidTr="00982F68">
        <w:trPr>
          <w:trHeight w:val="570"/>
        </w:trPr>
        <w:tc>
          <w:tcPr>
            <w:tcW w:w="0" w:type="auto"/>
            <w:tcBorders>
              <w:top w:val="single" w:sz="6" w:space="0" w:color="FFD966"/>
              <w:left w:val="single" w:sz="6" w:space="0" w:color="FFD966"/>
              <w:bottom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F1616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Adquisición de papel bond, tamaño carta y oficio para unidades educativas del distrito 21</w:t>
            </w:r>
          </w:p>
        </w:tc>
        <w:tc>
          <w:tcPr>
            <w:tcW w:w="0" w:type="auto"/>
            <w:tcBorders>
              <w:top w:val="single" w:sz="6" w:space="0" w:color="FFD966"/>
              <w:bottom w:val="single" w:sz="6" w:space="0" w:color="FFD966"/>
              <w:right w:val="single" w:sz="6" w:space="0" w:color="FFD966"/>
            </w:tcBorders>
            <w:shd w:val="clear" w:color="auto" w:fill="FFF2CC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316EC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6.000,00</w:t>
            </w:r>
          </w:p>
        </w:tc>
      </w:tr>
    </w:tbl>
    <w:p w14:paraId="4FE9D485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La información y respaldo de los detalles se encuentran en el Anexo 5.2.SDI-1</w:t>
      </w:r>
    </w:p>
    <w:p w14:paraId="588AD692" w14:textId="77777777" w:rsidR="00982F68" w:rsidRPr="00982F68" w:rsidRDefault="00982F68" w:rsidP="00982F68">
      <w:pPr>
        <w:numPr>
          <w:ilvl w:val="0"/>
          <w:numId w:val="10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Rendición Pública de Cuentas Inicial por gestión: La </w:t>
      </w:r>
      <w:proofErr w:type="spellStart"/>
      <w:r w:rsidRPr="00982F68">
        <w:rPr>
          <w:rFonts w:ascii="Arial" w:hAnsi="Arial" w:cs="Arial"/>
        </w:rPr>
        <w:t>Sub-alcaldía</w:t>
      </w:r>
      <w:proofErr w:type="spellEnd"/>
      <w:r w:rsidRPr="00982F68">
        <w:rPr>
          <w:rFonts w:ascii="Arial" w:hAnsi="Arial" w:cs="Arial"/>
        </w:rPr>
        <w:t xml:space="preserve"> Sur no cuenta con la información.</w:t>
      </w:r>
    </w:p>
    <w:p w14:paraId="61567A3A" w14:textId="77777777" w:rsidR="00982F68" w:rsidRPr="00982F68" w:rsidRDefault="00982F68" w:rsidP="00982F68">
      <w:pPr>
        <w:numPr>
          <w:ilvl w:val="0"/>
          <w:numId w:val="10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Rendición Pública de Cuentas Fin por gestión: 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la información.</w:t>
      </w:r>
    </w:p>
    <w:p w14:paraId="75CC3FBC" w14:textId="09B90F08" w:rsidR="0085112A" w:rsidRPr="00982F68" w:rsidRDefault="0085112A" w:rsidP="00982F68">
      <w:pPr>
        <w:rPr>
          <w:rFonts w:ascii="Arial" w:hAnsi="Arial" w:cs="Arial"/>
        </w:rPr>
      </w:pPr>
    </w:p>
    <w:sectPr w:rsidR="0085112A" w:rsidRPr="00982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353"/>
    <w:multiLevelType w:val="multilevel"/>
    <w:tmpl w:val="699E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063C"/>
    <w:multiLevelType w:val="multilevel"/>
    <w:tmpl w:val="DBA8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64725"/>
    <w:multiLevelType w:val="multilevel"/>
    <w:tmpl w:val="5042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D23C1"/>
    <w:multiLevelType w:val="multilevel"/>
    <w:tmpl w:val="AFE2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A7AB0"/>
    <w:multiLevelType w:val="multilevel"/>
    <w:tmpl w:val="EC0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24BF5"/>
    <w:multiLevelType w:val="multilevel"/>
    <w:tmpl w:val="6FA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0054B"/>
    <w:multiLevelType w:val="multilevel"/>
    <w:tmpl w:val="81F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93FF7"/>
    <w:multiLevelType w:val="multilevel"/>
    <w:tmpl w:val="3974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77812"/>
    <w:multiLevelType w:val="multilevel"/>
    <w:tmpl w:val="1C96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6293"/>
    <w:multiLevelType w:val="multilevel"/>
    <w:tmpl w:val="F96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8"/>
    <w:rsid w:val="00246F20"/>
    <w:rsid w:val="0085112A"/>
    <w:rsid w:val="00982F68"/>
    <w:rsid w:val="00E90425"/>
    <w:rsid w:val="00E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F2EB"/>
  <w15:chartTrackingRefBased/>
  <w15:docId w15:val="{DFEAB07C-EBFF-463B-8724-3E3A12BB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2F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2F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2F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2F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2F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2F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2F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2F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2F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2F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2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1028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hijitas</dc:creator>
  <cp:keywords/>
  <dc:description/>
  <cp:lastModifiedBy>Xime</cp:lastModifiedBy>
  <cp:revision>2</cp:revision>
  <dcterms:created xsi:type="dcterms:W3CDTF">2026-04-26T04:11:00Z</dcterms:created>
  <dcterms:modified xsi:type="dcterms:W3CDTF">2026-04-27T15:52:00Z</dcterms:modified>
</cp:coreProperties>
</file>