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089BF" w14:textId="77777777" w:rsidR="00982F68" w:rsidRPr="00982F68" w:rsidRDefault="00982F68" w:rsidP="00982F68">
      <w:pPr>
        <w:rPr>
          <w:rFonts w:ascii="Arial" w:hAnsi="Arial" w:cs="Arial"/>
          <w:sz w:val="24"/>
          <w:szCs w:val="24"/>
        </w:rPr>
      </w:pPr>
      <w:r w:rsidRPr="00982F68">
        <w:rPr>
          <w:rFonts w:ascii="Arial" w:hAnsi="Arial" w:cs="Arial"/>
          <w:b/>
          <w:bCs/>
          <w:sz w:val="24"/>
          <w:szCs w:val="24"/>
          <w:u w:val="single"/>
        </w:rPr>
        <w:t>UNIDAD DE INFRAESTRUCTURA (UI)</w:t>
      </w:r>
    </w:p>
    <w:p w14:paraId="6DC14438" w14:textId="77777777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t>Según el anexo 5.2.UI-1 para las gestiones 2021 – 2025 contamos con la siguiente información:</w:t>
      </w:r>
    </w:p>
    <w:p w14:paraId="2A62FE66" w14:textId="77777777" w:rsidR="00982F68" w:rsidRPr="00982F68" w:rsidRDefault="00982F68" w:rsidP="00982F68">
      <w:pPr>
        <w:numPr>
          <w:ilvl w:val="0"/>
          <w:numId w:val="5"/>
        </w:numPr>
        <w:rPr>
          <w:rFonts w:ascii="Arial" w:hAnsi="Arial" w:cs="Arial"/>
        </w:rPr>
      </w:pPr>
      <w:r w:rsidRPr="00982F68">
        <w:rPr>
          <w:rFonts w:ascii="Arial" w:hAnsi="Arial" w:cs="Arial"/>
        </w:rPr>
        <w:t>Actas de concertación por distrito según POA de cada gestión.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6"/>
        <w:gridCol w:w="975"/>
        <w:gridCol w:w="975"/>
        <w:gridCol w:w="975"/>
        <w:gridCol w:w="905"/>
      </w:tblGrid>
      <w:tr w:rsidR="00982F68" w:rsidRPr="00982F68" w14:paraId="57F727B7" w14:textId="77777777" w:rsidTr="00982F68">
        <w:tc>
          <w:tcPr>
            <w:tcW w:w="0" w:type="auto"/>
            <w:tcBorders>
              <w:bottom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651D1" w14:textId="77777777" w:rsidR="00982F68" w:rsidRPr="00982F68" w:rsidRDefault="00982F68" w:rsidP="00982F6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D92B1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OTB 18</w:t>
            </w:r>
          </w:p>
        </w:tc>
        <w:tc>
          <w:tcPr>
            <w:tcW w:w="0" w:type="auto"/>
            <w:tcBorders>
              <w:bottom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1935A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OTB 19</w:t>
            </w:r>
          </w:p>
        </w:tc>
        <w:tc>
          <w:tcPr>
            <w:tcW w:w="0" w:type="auto"/>
            <w:tcBorders>
              <w:bottom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EB1B3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OTB 21</w:t>
            </w:r>
          </w:p>
        </w:tc>
        <w:tc>
          <w:tcPr>
            <w:tcW w:w="0" w:type="auto"/>
            <w:tcBorders>
              <w:bottom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3D6DF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TOTAL</w:t>
            </w:r>
          </w:p>
        </w:tc>
      </w:tr>
      <w:tr w:rsidR="00982F68" w:rsidRPr="00982F68" w14:paraId="36A1D706" w14:textId="77777777" w:rsidTr="00982F68">
        <w:tc>
          <w:tcPr>
            <w:tcW w:w="0" w:type="auto"/>
            <w:tcBorders>
              <w:right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BE85C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2023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DE378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43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C4876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51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4B6D9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35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796D1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129</w:t>
            </w:r>
          </w:p>
        </w:tc>
      </w:tr>
    </w:tbl>
    <w:p w14:paraId="7844DC71" w14:textId="676D1CB7" w:rsidR="00982F68" w:rsidRPr="00982F68" w:rsidRDefault="00982F68" w:rsidP="00982F68">
      <w:pPr>
        <w:rPr>
          <w:rFonts w:ascii="Arial" w:hAnsi="Arial" w:cs="Arial"/>
        </w:rPr>
      </w:pPr>
    </w:p>
    <w:p w14:paraId="04C9C4A1" w14:textId="77777777" w:rsidR="00982F68" w:rsidRPr="00982F68" w:rsidRDefault="00982F68" w:rsidP="00982F68">
      <w:pPr>
        <w:numPr>
          <w:ilvl w:val="0"/>
          <w:numId w:val="6"/>
        </w:numPr>
        <w:rPr>
          <w:rFonts w:ascii="Arial" w:hAnsi="Arial" w:cs="Arial"/>
        </w:rPr>
      </w:pPr>
      <w:r w:rsidRPr="00982F68">
        <w:rPr>
          <w:rFonts w:ascii="Arial" w:hAnsi="Arial" w:cs="Arial"/>
        </w:rPr>
        <w:t>Actas definitivas por gestión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6"/>
        <w:gridCol w:w="2335"/>
      </w:tblGrid>
      <w:tr w:rsidR="00982F68" w:rsidRPr="00982F68" w14:paraId="6E3C1886" w14:textId="77777777" w:rsidTr="00982F68">
        <w:tc>
          <w:tcPr>
            <w:tcW w:w="0" w:type="auto"/>
            <w:tcBorders>
              <w:bottom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9056B" w14:textId="77777777" w:rsidR="00982F68" w:rsidRPr="00982F68" w:rsidRDefault="00982F68" w:rsidP="00982F6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1A4CC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ACTAS DEFINITIVAS</w:t>
            </w:r>
          </w:p>
        </w:tc>
      </w:tr>
      <w:tr w:rsidR="00982F68" w:rsidRPr="00982F68" w14:paraId="4071C3A1" w14:textId="77777777" w:rsidTr="00982F68">
        <w:tc>
          <w:tcPr>
            <w:tcW w:w="0" w:type="auto"/>
            <w:tcBorders>
              <w:right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0A7D1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2023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30272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117</w:t>
            </w:r>
          </w:p>
        </w:tc>
      </w:tr>
    </w:tbl>
    <w:p w14:paraId="4C001DF4" w14:textId="5FF38F77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br/>
        <w:t>Reportes SICOM (contratos FAC)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6"/>
        <w:gridCol w:w="987"/>
        <w:gridCol w:w="1023"/>
        <w:gridCol w:w="1411"/>
      </w:tblGrid>
      <w:tr w:rsidR="00982F68" w:rsidRPr="00982F68" w14:paraId="56D66A3D" w14:textId="77777777" w:rsidTr="00982F68">
        <w:tc>
          <w:tcPr>
            <w:tcW w:w="0" w:type="auto"/>
            <w:tcBorders>
              <w:bottom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9EED6" w14:textId="77777777" w:rsidR="00982F68" w:rsidRPr="00982F68" w:rsidRDefault="00982F68" w:rsidP="00982F6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C4F60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OBRAS</w:t>
            </w:r>
          </w:p>
        </w:tc>
        <w:tc>
          <w:tcPr>
            <w:tcW w:w="0" w:type="auto"/>
            <w:tcBorders>
              <w:bottom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DE23A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BIENES</w:t>
            </w:r>
          </w:p>
        </w:tc>
        <w:tc>
          <w:tcPr>
            <w:tcW w:w="0" w:type="auto"/>
            <w:tcBorders>
              <w:bottom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CA86E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SERVICIOS</w:t>
            </w:r>
          </w:p>
        </w:tc>
      </w:tr>
      <w:tr w:rsidR="00982F68" w:rsidRPr="00982F68" w14:paraId="52E14C18" w14:textId="77777777" w:rsidTr="00982F68">
        <w:tc>
          <w:tcPr>
            <w:tcW w:w="0" w:type="auto"/>
            <w:tcBorders>
              <w:right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AF3AB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2023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2D6FD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120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E8904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120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B47E1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3</w:t>
            </w:r>
          </w:p>
        </w:tc>
      </w:tr>
    </w:tbl>
    <w:p w14:paraId="42549F43" w14:textId="1DD3C18B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br/>
        <w:t>Reportes SIGEP (Ejecución presupuestaria de obras)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5"/>
        <w:gridCol w:w="706"/>
      </w:tblGrid>
      <w:tr w:rsidR="00FA2649" w:rsidRPr="00982F68" w14:paraId="0E6B2C9B" w14:textId="77777777" w:rsidTr="00982F68">
        <w:tc>
          <w:tcPr>
            <w:tcW w:w="0" w:type="auto"/>
            <w:tcBorders>
              <w:bottom w:val="single" w:sz="4" w:space="0" w:color="F4B08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E9FD6" w14:textId="77777777" w:rsidR="00FA2649" w:rsidRPr="00982F68" w:rsidRDefault="00FA2649" w:rsidP="00982F6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F4B08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5BBA1" w14:textId="77777777" w:rsidR="00FA2649" w:rsidRPr="00982F68" w:rsidRDefault="00FA2649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2023</w:t>
            </w:r>
          </w:p>
        </w:tc>
      </w:tr>
      <w:tr w:rsidR="00FA2649" w:rsidRPr="00982F68" w14:paraId="08C3605E" w14:textId="77777777" w:rsidTr="00982F68">
        <w:tc>
          <w:tcPr>
            <w:tcW w:w="0" w:type="auto"/>
            <w:tcBorders>
              <w:top w:val="single" w:sz="4" w:space="0" w:color="F4B083"/>
              <w:right w:val="single" w:sz="4" w:space="0" w:color="F4B08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AE3B7" w14:textId="77777777" w:rsidR="00FA2649" w:rsidRPr="00982F68" w:rsidRDefault="00FA2649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Proyectos</w:t>
            </w:r>
          </w:p>
        </w:tc>
        <w:tc>
          <w:tcPr>
            <w:tcW w:w="0" w:type="auto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E741A" w14:textId="77777777" w:rsidR="00FA2649" w:rsidRPr="00982F68" w:rsidRDefault="00FA2649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107</w:t>
            </w:r>
          </w:p>
        </w:tc>
      </w:tr>
    </w:tbl>
    <w:p w14:paraId="4A54AB1F" w14:textId="77777777" w:rsidR="00982F68" w:rsidRPr="00982F68" w:rsidRDefault="00982F68" w:rsidP="00982F68">
      <w:pPr>
        <w:rPr>
          <w:rFonts w:ascii="Arial" w:hAnsi="Arial" w:cs="Arial"/>
        </w:rPr>
      </w:pPr>
    </w:p>
    <w:p w14:paraId="7B72345E" w14:textId="77777777" w:rsidR="00982F68" w:rsidRDefault="00982F68" w:rsidP="00982F68">
      <w:pPr>
        <w:rPr>
          <w:rFonts w:ascii="Arial" w:hAnsi="Arial" w:cs="Arial"/>
          <w:b/>
          <w:bCs/>
          <w:u w:val="single"/>
        </w:rPr>
      </w:pPr>
    </w:p>
    <w:p w14:paraId="2D35AE36" w14:textId="17F70B1E" w:rsidR="00982F68" w:rsidRPr="00982F68" w:rsidRDefault="00982F68" w:rsidP="00982F68">
      <w:pPr>
        <w:rPr>
          <w:rFonts w:ascii="Arial" w:hAnsi="Arial" w:cs="Arial"/>
          <w:sz w:val="24"/>
          <w:szCs w:val="24"/>
        </w:rPr>
      </w:pPr>
      <w:r w:rsidRPr="00982F68">
        <w:rPr>
          <w:rFonts w:ascii="Arial" w:hAnsi="Arial" w:cs="Arial"/>
          <w:b/>
          <w:bCs/>
          <w:sz w:val="24"/>
          <w:szCs w:val="24"/>
          <w:u w:val="single"/>
        </w:rPr>
        <w:t>UNIDAD DE FISCALIZACIÓN TERRITORIAL (UFT)</w:t>
      </w:r>
    </w:p>
    <w:p w14:paraId="7F2FCFC7" w14:textId="77777777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t>En el marco del proceso de transición institucional, se realizó la revisión y análisis de la información contenida en los registros de procesos administrativos de fiscalización territorial correspondientes a las gestiones 2021 a 2026, con base en la documentación disponible en archivos institucionales.</w:t>
      </w:r>
    </w:p>
    <w:p w14:paraId="6D0BB855" w14:textId="674FFC5F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t> Es importante señalar que no se cuenta con información correspondiente a la gestión 2024, por lo que el análisis se sustenta en los datos disponibles de las gestiones 2021, 2022, 2023, 2025 y 2026, así como en la identificación de procesos en curso que presentan continuidad administrativa entre dichas gestiones.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9"/>
        <w:gridCol w:w="1041"/>
        <w:gridCol w:w="1202"/>
        <w:gridCol w:w="1042"/>
        <w:gridCol w:w="1161"/>
        <w:gridCol w:w="1148"/>
        <w:gridCol w:w="1915"/>
      </w:tblGrid>
      <w:tr w:rsidR="00982F68" w:rsidRPr="00982F68" w14:paraId="12F3D6C4" w14:textId="77777777" w:rsidTr="00982F68">
        <w:trPr>
          <w:trHeight w:val="9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EBA6408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  <w:b/>
                <w:bCs/>
              </w:rPr>
              <w:t>Gestión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F9C7606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  <w:b/>
                <w:bCs/>
              </w:rPr>
              <w:t>Tipo de proceso privado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068AC55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  <w:b/>
                <w:bCs/>
              </w:rPr>
              <w:t>Topo de proceso Municipal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AA7FECA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  <w:b/>
                <w:bCs/>
              </w:rPr>
              <w:t>Topo de proceso Publico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9E650EB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  <w:b/>
                <w:bCs/>
              </w:rPr>
              <w:t>tipo de procesos vacíos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3BB106D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proofErr w:type="spellStart"/>
            <w:r w:rsidRPr="00982F68">
              <w:rPr>
                <w:rFonts w:ascii="Arial" w:hAnsi="Arial" w:cs="Arial"/>
                <w:b/>
                <w:bCs/>
              </w:rPr>
              <w:t>Nº</w:t>
            </w:r>
            <w:proofErr w:type="spellEnd"/>
            <w:r w:rsidRPr="00982F68">
              <w:rPr>
                <w:rFonts w:ascii="Arial" w:hAnsi="Arial" w:cs="Arial"/>
                <w:b/>
                <w:bCs/>
              </w:rPr>
              <w:t xml:space="preserve"> de procesos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A720342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  <w:b/>
                <w:bCs/>
              </w:rPr>
              <w:t>observaciones</w:t>
            </w:r>
          </w:p>
        </w:tc>
      </w:tr>
      <w:tr w:rsidR="00982F68" w:rsidRPr="00982F68" w14:paraId="051A2CBA" w14:textId="77777777" w:rsidTr="00982F68">
        <w:trPr>
          <w:trHeight w:val="5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0E055CB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  <w:b/>
                <w:bCs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49483486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7213C21B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7B0A864F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5DCF7251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A6183BC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0A07BC3C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 xml:space="preserve">-Se identifica la </w:t>
            </w:r>
            <w:r w:rsidRPr="00982F68">
              <w:rPr>
                <w:rFonts w:ascii="Arial" w:hAnsi="Arial" w:cs="Arial"/>
                <w:b/>
                <w:bCs/>
              </w:rPr>
              <w:t xml:space="preserve">ausencia de información en los casos </w:t>
            </w:r>
            <w:proofErr w:type="spellStart"/>
            <w:r w:rsidRPr="00982F68">
              <w:rPr>
                <w:rFonts w:ascii="Arial" w:hAnsi="Arial" w:cs="Arial"/>
                <w:b/>
                <w:bCs/>
              </w:rPr>
              <w:t>N°</w:t>
            </w:r>
            <w:proofErr w:type="spellEnd"/>
            <w:r w:rsidRPr="00982F68">
              <w:rPr>
                <w:rFonts w:ascii="Arial" w:hAnsi="Arial" w:cs="Arial"/>
                <w:b/>
                <w:bCs/>
              </w:rPr>
              <w:t xml:space="preserve"> 97, 98, 99, 100, 101, 102, 103 y 104</w:t>
            </w:r>
            <w:r w:rsidRPr="00982F68">
              <w:rPr>
                <w:rFonts w:ascii="Arial" w:hAnsi="Arial" w:cs="Arial"/>
              </w:rPr>
              <w:t xml:space="preserve">, </w:t>
            </w:r>
            <w:r w:rsidRPr="00982F68">
              <w:rPr>
                <w:rFonts w:ascii="Arial" w:hAnsi="Arial" w:cs="Arial"/>
              </w:rPr>
              <w:lastRenderedPageBreak/>
              <w:t>lo cual refleja deficiencias en el registro y sistematización de datos.</w:t>
            </w:r>
          </w:p>
          <w:p w14:paraId="65CD03DD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 xml:space="preserve">-Por otra parte, el </w:t>
            </w:r>
            <w:r w:rsidRPr="00982F68">
              <w:rPr>
                <w:rFonts w:ascii="Arial" w:hAnsi="Arial" w:cs="Arial"/>
                <w:b/>
                <w:bCs/>
              </w:rPr>
              <w:t xml:space="preserve">caso </w:t>
            </w:r>
            <w:proofErr w:type="spellStart"/>
            <w:r w:rsidRPr="00982F68">
              <w:rPr>
                <w:rFonts w:ascii="Arial" w:hAnsi="Arial" w:cs="Arial"/>
                <w:b/>
                <w:bCs/>
              </w:rPr>
              <w:t>N°</w:t>
            </w:r>
            <w:proofErr w:type="spellEnd"/>
            <w:r w:rsidRPr="00982F68">
              <w:rPr>
                <w:rFonts w:ascii="Arial" w:hAnsi="Arial" w:cs="Arial"/>
                <w:b/>
                <w:bCs/>
              </w:rPr>
              <w:t xml:space="preserve"> 200 no cuenta con la clasificación del tipo de proceso</w:t>
            </w:r>
            <w:r w:rsidRPr="00982F68">
              <w:rPr>
                <w:rFonts w:ascii="Arial" w:hAnsi="Arial" w:cs="Arial"/>
              </w:rPr>
              <w:t>, es decir, no se especifica si corresponde a un proceso municipal o privado.</w:t>
            </w:r>
          </w:p>
        </w:tc>
      </w:tr>
    </w:tbl>
    <w:p w14:paraId="57D5E827" w14:textId="77777777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lastRenderedPageBreak/>
        <w:t>Es necesario fortalecer los mecanismos de clasificación y registro de procesos.</w:t>
      </w:r>
    </w:p>
    <w:p w14:paraId="3578AE21" w14:textId="77777777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t>En cuanto a la tipología de los procesos, se identifica un claro predominio de intervenciones en predios de carácter privado, asociados principalmente a construcciones sin autorización, modificaciones no aprobadas, movimientos de tierra sin permiso y otros incumplimientos de la normativa urbanística vigente. En menor proporción, se registran procesos vinculados a propiedad municipal, relacionados con ocupación indebida o afectación de bienes de dominio público.</w:t>
      </w:r>
    </w:p>
    <w:p w14:paraId="71BCEF78" w14:textId="77777777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t xml:space="preserve">Respecto a la distribución territorial, los procesos de fiscalización se concentran principalmente en zonas correspondientes al </w:t>
      </w:r>
      <w:proofErr w:type="spellStart"/>
      <w:r w:rsidRPr="00982F68">
        <w:rPr>
          <w:rFonts w:ascii="Arial" w:hAnsi="Arial" w:cs="Arial"/>
        </w:rPr>
        <w:t>Macrodistrito</w:t>
      </w:r>
      <w:proofErr w:type="spellEnd"/>
      <w:r w:rsidRPr="00982F68">
        <w:rPr>
          <w:rFonts w:ascii="Arial" w:hAnsi="Arial" w:cs="Arial"/>
        </w:rPr>
        <w:t xml:space="preserve"> Sur, destacando áreas como Achumani, </w:t>
      </w:r>
      <w:proofErr w:type="spellStart"/>
      <w:r w:rsidRPr="00982F68">
        <w:rPr>
          <w:rFonts w:ascii="Arial" w:hAnsi="Arial" w:cs="Arial"/>
        </w:rPr>
        <w:t>Irpavi</w:t>
      </w:r>
      <w:proofErr w:type="spellEnd"/>
      <w:r w:rsidRPr="00982F68">
        <w:rPr>
          <w:rFonts w:ascii="Arial" w:hAnsi="Arial" w:cs="Arial"/>
        </w:rPr>
        <w:t xml:space="preserve">, Calacoto, Obrajes, Bella Vista, </w:t>
      </w:r>
      <w:proofErr w:type="spellStart"/>
      <w:r w:rsidRPr="00982F68">
        <w:rPr>
          <w:rFonts w:ascii="Arial" w:hAnsi="Arial" w:cs="Arial"/>
        </w:rPr>
        <w:t>Seguencoma</w:t>
      </w:r>
      <w:proofErr w:type="spellEnd"/>
      <w:r w:rsidRPr="00982F68">
        <w:rPr>
          <w:rFonts w:ascii="Arial" w:hAnsi="Arial" w:cs="Arial"/>
        </w:rPr>
        <w:t xml:space="preserve">, Cota </w:t>
      </w:r>
      <w:proofErr w:type="spellStart"/>
      <w:r w:rsidRPr="00982F68">
        <w:rPr>
          <w:rFonts w:ascii="Arial" w:hAnsi="Arial" w:cs="Arial"/>
        </w:rPr>
        <w:t>Cota</w:t>
      </w:r>
      <w:proofErr w:type="spellEnd"/>
      <w:r w:rsidRPr="00982F68">
        <w:rPr>
          <w:rFonts w:ascii="Arial" w:hAnsi="Arial" w:cs="Arial"/>
        </w:rPr>
        <w:t xml:space="preserve"> y </w:t>
      </w:r>
      <w:proofErr w:type="spellStart"/>
      <w:r w:rsidRPr="00982F68">
        <w:rPr>
          <w:rFonts w:ascii="Arial" w:hAnsi="Arial" w:cs="Arial"/>
        </w:rPr>
        <w:t>Auquisamaña</w:t>
      </w:r>
      <w:proofErr w:type="spellEnd"/>
      <w:r w:rsidRPr="00982F68">
        <w:rPr>
          <w:rFonts w:ascii="Arial" w:hAnsi="Arial" w:cs="Arial"/>
        </w:rPr>
        <w:t>, las cuales presentan alta dinámica urbana y presión constructiva. Esta concentración evidencia la necesidad de reforzar mecanismos de control en sectores con mayor crecimiento y consolidación urbana.</w:t>
      </w:r>
    </w:p>
    <w:p w14:paraId="255D2931" w14:textId="6407AB26" w:rsidR="00982F68" w:rsidRDefault="00982F68" w:rsidP="00982F68">
      <w:pPr>
        <w:rPr>
          <w:rFonts w:ascii="Arial" w:hAnsi="Arial" w:cs="Arial"/>
          <w:b/>
          <w:bCs/>
          <w:sz w:val="24"/>
          <w:szCs w:val="24"/>
        </w:rPr>
      </w:pPr>
      <w:r w:rsidRPr="00982F68">
        <w:rPr>
          <w:rFonts w:ascii="Arial" w:hAnsi="Arial" w:cs="Arial"/>
          <w:b/>
          <w:bCs/>
          <w:sz w:val="24"/>
          <w:szCs w:val="24"/>
        </w:rPr>
        <w:t>PROCESOS DEL ÁREA LEGAL (UFT)</w:t>
      </w:r>
    </w:p>
    <w:p w14:paraId="79A8AF08" w14:textId="77777777" w:rsidR="00FA2649" w:rsidRPr="007F161D" w:rsidRDefault="00FA2649" w:rsidP="00FA2649">
      <w:pPr>
        <w:rPr>
          <w:rFonts w:ascii="Arial" w:hAnsi="Arial" w:cs="Arial"/>
          <w:b/>
          <w:bCs/>
          <w:sz w:val="24"/>
          <w:szCs w:val="24"/>
        </w:rPr>
      </w:pPr>
      <w:r w:rsidRPr="00982F68">
        <w:rPr>
          <w:rFonts w:ascii="Arial" w:hAnsi="Arial" w:cs="Arial"/>
        </w:rPr>
        <w:t xml:space="preserve">La </w:t>
      </w:r>
      <w:proofErr w:type="spellStart"/>
      <w:r w:rsidRPr="00982F68">
        <w:rPr>
          <w:rFonts w:ascii="Arial" w:hAnsi="Arial" w:cs="Arial"/>
        </w:rPr>
        <w:t>Subalcaldía</w:t>
      </w:r>
      <w:proofErr w:type="spellEnd"/>
      <w:r w:rsidRPr="00982F68">
        <w:rPr>
          <w:rFonts w:ascii="Arial" w:hAnsi="Arial" w:cs="Arial"/>
        </w:rPr>
        <w:t xml:space="preserve"> V Sur no cuenta con información d</w:t>
      </w:r>
      <w:r w:rsidRPr="007F161D">
        <w:rPr>
          <w:rFonts w:ascii="Arial" w:hAnsi="Arial" w:cs="Arial"/>
        </w:rPr>
        <w:t xml:space="preserve">e </w:t>
      </w:r>
      <w:r w:rsidRPr="007F161D">
        <w:rPr>
          <w:rFonts w:ascii="Arial" w:hAnsi="Arial" w:cs="Arial"/>
          <w:bCs/>
          <w:sz w:val="24"/>
          <w:szCs w:val="24"/>
        </w:rPr>
        <w:t xml:space="preserve">procesos </w:t>
      </w:r>
      <w:r>
        <w:rPr>
          <w:rFonts w:ascii="Arial" w:hAnsi="Arial" w:cs="Arial"/>
          <w:bCs/>
          <w:sz w:val="24"/>
          <w:szCs w:val="24"/>
        </w:rPr>
        <w:t>d</w:t>
      </w:r>
      <w:r w:rsidRPr="007F161D">
        <w:rPr>
          <w:rFonts w:ascii="Arial" w:hAnsi="Arial" w:cs="Arial"/>
          <w:bCs/>
          <w:sz w:val="24"/>
          <w:szCs w:val="24"/>
        </w:rPr>
        <w:t>el área legal (</w:t>
      </w:r>
      <w:proofErr w:type="spellStart"/>
      <w:r w:rsidRPr="007F161D">
        <w:rPr>
          <w:rFonts w:ascii="Arial" w:hAnsi="Arial" w:cs="Arial"/>
          <w:bCs/>
          <w:sz w:val="24"/>
          <w:szCs w:val="24"/>
        </w:rPr>
        <w:t>uft</w:t>
      </w:r>
      <w:proofErr w:type="spellEnd"/>
      <w:r w:rsidRPr="007F161D">
        <w:rPr>
          <w:rFonts w:ascii="Arial" w:hAnsi="Arial" w:cs="Arial"/>
          <w:bCs/>
          <w:sz w:val="24"/>
          <w:szCs w:val="24"/>
        </w:rPr>
        <w:t>)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982F68">
        <w:rPr>
          <w:rFonts w:ascii="Arial" w:hAnsi="Arial" w:cs="Arial"/>
        </w:rPr>
        <w:t>de las gestiones 2021 a la 202</w:t>
      </w:r>
      <w:r>
        <w:rPr>
          <w:rFonts w:ascii="Arial" w:hAnsi="Arial" w:cs="Arial"/>
        </w:rPr>
        <w:t>5</w:t>
      </w:r>
      <w:r w:rsidRPr="00982F68">
        <w:rPr>
          <w:rFonts w:ascii="Arial" w:hAnsi="Arial" w:cs="Arial"/>
        </w:rPr>
        <w:t>.</w:t>
      </w:r>
    </w:p>
    <w:p w14:paraId="1514805E" w14:textId="77777777" w:rsidR="00982F68" w:rsidRPr="00982F68" w:rsidRDefault="00982F68" w:rsidP="00982F68">
      <w:pPr>
        <w:rPr>
          <w:rFonts w:ascii="Arial" w:hAnsi="Arial" w:cs="Arial"/>
        </w:rPr>
      </w:pPr>
      <w:bookmarkStart w:id="0" w:name="_GoBack"/>
      <w:bookmarkEnd w:id="0"/>
    </w:p>
    <w:p w14:paraId="5906971B" w14:textId="77777777" w:rsidR="00982F68" w:rsidRPr="00982F68" w:rsidRDefault="00982F68" w:rsidP="00982F68">
      <w:pPr>
        <w:rPr>
          <w:rFonts w:ascii="Arial" w:hAnsi="Arial" w:cs="Arial"/>
          <w:sz w:val="24"/>
          <w:szCs w:val="24"/>
        </w:rPr>
      </w:pPr>
      <w:r w:rsidRPr="00982F68">
        <w:rPr>
          <w:rFonts w:ascii="Arial" w:hAnsi="Arial" w:cs="Arial"/>
          <w:b/>
          <w:bCs/>
          <w:sz w:val="24"/>
          <w:szCs w:val="24"/>
          <w:u w:val="single"/>
        </w:rPr>
        <w:t>UNIDAD DE MANTENIMIENTO Y RESPUESTA INMEDIATA (UMRI)</w:t>
      </w:r>
    </w:p>
    <w:p w14:paraId="4A82746B" w14:textId="72120F91" w:rsidR="00982F68" w:rsidRPr="00982F68" w:rsidRDefault="00982F68" w:rsidP="00FA2649">
      <w:pPr>
        <w:rPr>
          <w:rFonts w:ascii="Arial" w:hAnsi="Arial" w:cs="Arial"/>
        </w:rPr>
      </w:pPr>
      <w:r w:rsidRPr="00982F68">
        <w:rPr>
          <w:rFonts w:ascii="Arial" w:hAnsi="Arial" w:cs="Arial"/>
        </w:rPr>
        <w:t xml:space="preserve">La </w:t>
      </w:r>
      <w:proofErr w:type="spellStart"/>
      <w:r w:rsidRPr="00982F68">
        <w:rPr>
          <w:rFonts w:ascii="Arial" w:hAnsi="Arial" w:cs="Arial"/>
        </w:rPr>
        <w:t>Subalcaldía</w:t>
      </w:r>
      <w:proofErr w:type="spellEnd"/>
      <w:r w:rsidRPr="00982F68">
        <w:rPr>
          <w:rFonts w:ascii="Arial" w:hAnsi="Arial" w:cs="Arial"/>
        </w:rPr>
        <w:t xml:space="preserve"> V Sur no cuenta con información de mantenimiento y respuesta inmediata de las gestiones 2021 a la 2024.</w:t>
      </w:r>
      <w:r w:rsidR="00FA2649" w:rsidRPr="00982F68">
        <w:rPr>
          <w:rFonts w:ascii="Arial" w:hAnsi="Arial" w:cs="Arial"/>
        </w:rPr>
        <w:t xml:space="preserve"> </w:t>
      </w:r>
    </w:p>
    <w:p w14:paraId="49CD623D" w14:textId="77777777" w:rsidR="00982F68" w:rsidRPr="00982F68" w:rsidRDefault="00982F68" w:rsidP="00982F68">
      <w:pPr>
        <w:rPr>
          <w:rFonts w:ascii="Arial" w:hAnsi="Arial" w:cs="Arial"/>
          <w:sz w:val="24"/>
          <w:szCs w:val="24"/>
        </w:rPr>
      </w:pPr>
      <w:r w:rsidRPr="00982F68">
        <w:rPr>
          <w:rFonts w:ascii="Arial" w:hAnsi="Arial" w:cs="Arial"/>
          <w:b/>
          <w:bCs/>
          <w:sz w:val="24"/>
          <w:szCs w:val="24"/>
          <w:u w:val="single"/>
        </w:rPr>
        <w:t>SECCIÓN DE DESARROLLO INTEGRAL</w:t>
      </w:r>
    </w:p>
    <w:p w14:paraId="673E9214" w14:textId="77777777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t xml:space="preserve">La </w:t>
      </w:r>
      <w:proofErr w:type="spellStart"/>
      <w:r w:rsidRPr="00982F68">
        <w:rPr>
          <w:rFonts w:ascii="Arial" w:hAnsi="Arial" w:cs="Arial"/>
        </w:rPr>
        <w:t>Subalcaldía</w:t>
      </w:r>
      <w:proofErr w:type="spellEnd"/>
      <w:r w:rsidRPr="00982F68">
        <w:rPr>
          <w:rFonts w:ascii="Arial" w:hAnsi="Arial" w:cs="Arial"/>
        </w:rPr>
        <w:t xml:space="preserve"> V Sur no cuenta con información acerca de las contrataciones o actividades realizadas de las gestiones 2021 – 2025.</w:t>
      </w:r>
    </w:p>
    <w:sectPr w:rsidR="00982F68" w:rsidRPr="00982F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90353"/>
    <w:multiLevelType w:val="multilevel"/>
    <w:tmpl w:val="699E5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B063C"/>
    <w:multiLevelType w:val="multilevel"/>
    <w:tmpl w:val="DBA87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64725"/>
    <w:multiLevelType w:val="multilevel"/>
    <w:tmpl w:val="50427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5D23C1"/>
    <w:multiLevelType w:val="multilevel"/>
    <w:tmpl w:val="AFE2F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7A7AB0"/>
    <w:multiLevelType w:val="multilevel"/>
    <w:tmpl w:val="EC0C4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024BF5"/>
    <w:multiLevelType w:val="multilevel"/>
    <w:tmpl w:val="6FA69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70054B"/>
    <w:multiLevelType w:val="multilevel"/>
    <w:tmpl w:val="81FE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F93FF7"/>
    <w:multiLevelType w:val="multilevel"/>
    <w:tmpl w:val="39746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977812"/>
    <w:multiLevelType w:val="multilevel"/>
    <w:tmpl w:val="1C96F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1F6293"/>
    <w:multiLevelType w:val="multilevel"/>
    <w:tmpl w:val="F9667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F68"/>
    <w:rsid w:val="0085112A"/>
    <w:rsid w:val="00982F68"/>
    <w:rsid w:val="00E90425"/>
    <w:rsid w:val="00EC12D3"/>
    <w:rsid w:val="00FA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AF2EB"/>
  <w15:chartTrackingRefBased/>
  <w15:docId w15:val="{DFEAB07C-EBFF-463B-8724-3E3A12BB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82F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2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2F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2F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2F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2F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2F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2F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2F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2F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2F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2F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2F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2F6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2F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2F6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2F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2F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82F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2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82F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82F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82F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82F6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82F6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82F6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2F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2F6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82F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2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472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hijitas</dc:creator>
  <cp:keywords/>
  <dc:description/>
  <cp:lastModifiedBy>Xime</cp:lastModifiedBy>
  <cp:revision>2</cp:revision>
  <dcterms:created xsi:type="dcterms:W3CDTF">2026-04-26T04:11:00Z</dcterms:created>
  <dcterms:modified xsi:type="dcterms:W3CDTF">2026-04-27T15:41:00Z</dcterms:modified>
</cp:coreProperties>
</file>